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257142D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A070CD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Juni/Lipanj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02F22B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>d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070CD">
        <w:rPr>
          <w:rFonts w:ascii="Arial" w:eastAsiaTheme="majorEastAsia" w:hAnsi="Arial" w:cs="Arial"/>
          <w:b/>
          <w:bCs/>
          <w:sz w:val="24"/>
          <w:szCs w:val="26"/>
          <w:lang w:val="hr-HR"/>
        </w:rPr>
        <w:t>juna</w:t>
      </w:r>
      <w:r w:rsidR="005F08C6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811D21" w:rsidRDefault="00811D2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A070CD" w:rsidP="00A070CD">
      <w:pPr>
        <w:spacing w:after="0" w:line="240" w:lineRule="auto"/>
        <w:jc w:val="both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noProof/>
          <w:lang w:eastAsia="hr-BA"/>
        </w:rPr>
        <w:drawing>
          <wp:inline distT="0" distB="0" distL="0" distR="0" wp14:anchorId="61DF912C" wp14:editId="3B695CD7">
            <wp:extent cx="5761355" cy="2392680"/>
            <wp:effectExtent l="0" t="0" r="10795" b="7620"/>
            <wp:docPr id="5" name="Grafikon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811D2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noProof/>
          <w:lang w:eastAsia="hr-BA"/>
        </w:rPr>
        <w:drawing>
          <wp:inline distT="0" distB="0" distL="0" distR="0" wp14:anchorId="42FECEDA" wp14:editId="148CDD5C">
            <wp:extent cx="5761355" cy="2251075"/>
            <wp:effectExtent l="0" t="0" r="10795" b="15875"/>
            <wp:docPr id="9" name="Grafikon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Izvor: oil-price.net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D12D75" w:rsidRDefault="00D12D75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811D21">
        <w:rPr>
          <w:rFonts w:ascii="Arial" w:eastAsiaTheme="majorEastAsia" w:hAnsi="Arial" w:cs="Arial"/>
          <w:b/>
          <w:bCs/>
          <w:sz w:val="24"/>
          <w:szCs w:val="26"/>
          <w:lang w:val="hr-HR"/>
        </w:rPr>
        <w:t>juna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 w:rsidRPr="00091FD5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F08C6" w:rsidRDefault="00811D21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2697DD1D" wp14:editId="07A27566">
            <wp:extent cx="5761355" cy="2339340"/>
            <wp:effectExtent l="0" t="0" r="10795" b="3810"/>
            <wp:docPr id="1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 xml:space="preserve">ina, BAS EN 228 - BMB 98 u </w:t>
      </w:r>
      <w:r w:rsidR="00947FC8">
        <w:rPr>
          <w:rFonts w:ascii="Arial" w:hAnsi="Arial" w:cs="Arial"/>
          <w:sz w:val="24"/>
          <w:lang w:val="hr-HR"/>
        </w:rPr>
        <w:t>junu/lipnju</w:t>
      </w:r>
      <w:r w:rsidR="00EA7EFB" w:rsidRPr="00EA7EFB">
        <w:rPr>
          <w:rFonts w:ascii="Arial" w:hAnsi="Arial" w:cs="Arial"/>
          <w:sz w:val="24"/>
          <w:lang w:val="hr-HR"/>
        </w:rPr>
        <w:t xml:space="preserve">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A67020">
        <w:rPr>
          <w:rFonts w:ascii="Arial" w:hAnsi="Arial" w:cs="Arial"/>
          <w:sz w:val="24"/>
          <w:lang w:val="hr-HR"/>
        </w:rPr>
        <w:t xml:space="preserve">niže su za </w:t>
      </w:r>
      <w:r w:rsidR="00947FC8">
        <w:rPr>
          <w:rFonts w:ascii="Arial" w:hAnsi="Arial" w:cs="Arial"/>
          <w:sz w:val="24"/>
          <w:lang w:val="hr-HR"/>
        </w:rPr>
        <w:t>0,38</w:t>
      </w:r>
      <w:r w:rsidR="009856E8">
        <w:rPr>
          <w:rFonts w:ascii="Arial" w:hAnsi="Arial" w:cs="Arial"/>
          <w:sz w:val="24"/>
          <w:lang w:val="hr-HR"/>
        </w:rPr>
        <w:t xml:space="preserve">%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947FC8">
        <w:rPr>
          <w:rFonts w:ascii="Arial" w:hAnsi="Arial" w:cs="Arial"/>
          <w:sz w:val="24"/>
          <w:lang w:val="hr-HR"/>
        </w:rPr>
        <w:t>junu/lipnju</w:t>
      </w:r>
      <w:r w:rsidR="00EA7EFB" w:rsidRPr="00EA7EFB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8,</w:t>
      </w:r>
      <w:r w:rsidR="00947FC8">
        <w:rPr>
          <w:rFonts w:ascii="Arial" w:hAnsi="Arial" w:cs="Arial"/>
          <w:sz w:val="24"/>
          <w:lang w:val="hr-HR"/>
        </w:rPr>
        <w:t>16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947FC8">
        <w:rPr>
          <w:rFonts w:ascii="Arial" w:hAnsi="Arial" w:cs="Arial"/>
          <w:sz w:val="24"/>
          <w:lang w:val="hr-HR"/>
        </w:rPr>
        <w:t>jun</w:t>
      </w:r>
      <w:r w:rsidR="00482EC0">
        <w:rPr>
          <w:rFonts w:ascii="Arial" w:hAnsi="Arial" w:cs="Arial"/>
          <w:sz w:val="24"/>
          <w:lang w:val="hr-HR"/>
        </w:rPr>
        <w:t>i</w:t>
      </w:r>
      <w:r w:rsidR="00947FC8">
        <w:rPr>
          <w:rFonts w:ascii="Arial" w:hAnsi="Arial" w:cs="Arial"/>
          <w:sz w:val="24"/>
          <w:lang w:val="hr-HR"/>
        </w:rPr>
        <w:t>/lipanj</w:t>
      </w:r>
      <w:r w:rsidR="00EA7EFB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87753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E83D5B" w:rsidRPr="00091FD5" w:rsidRDefault="00E83D5B" w:rsidP="00091FD5">
      <w:pPr>
        <w:tabs>
          <w:tab w:val="left" w:pos="142"/>
          <w:tab w:val="left" w:pos="567"/>
          <w:tab w:val="left" w:pos="709"/>
          <w:tab w:val="left" w:pos="7230"/>
          <w:tab w:val="left" w:pos="8080"/>
          <w:tab w:val="left" w:pos="8647"/>
        </w:tabs>
        <w:spacing w:after="0" w:line="240" w:lineRule="auto"/>
        <w:jc w:val="right"/>
        <w:rPr>
          <w:rFonts w:ascii="Arial" w:hAnsi="Arial" w:cs="Arial"/>
          <w:b/>
          <w:sz w:val="24"/>
          <w:szCs w:val="24"/>
          <w:lang w:val="hr-HR"/>
        </w:rPr>
      </w:pPr>
      <w:r w:rsidRPr="00E83D5B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</w:t>
      </w:r>
      <w:r w:rsidR="000D08D1" w:rsidRPr="00E83D5B">
        <w:rPr>
          <w:rFonts w:ascii="Arial" w:hAnsi="Arial" w:cs="Arial"/>
          <w:sz w:val="24"/>
          <w:szCs w:val="24"/>
          <w:lang w:val="hr-HR"/>
        </w:rPr>
        <w:t xml:space="preserve">   </w:t>
      </w:r>
      <w:r w:rsidR="00540226" w:rsidRPr="00E83D5B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</w:t>
      </w:r>
      <w:r w:rsidR="00D877D8" w:rsidRPr="00E83D5B">
        <w:rPr>
          <w:rFonts w:ascii="Arial" w:hAnsi="Arial" w:cs="Arial"/>
          <w:sz w:val="24"/>
          <w:szCs w:val="24"/>
          <w:lang w:val="hr-HR"/>
        </w:rPr>
        <w:t xml:space="preserve">         </w:t>
      </w:r>
      <w:r w:rsidR="004C4E2E" w:rsidRPr="00E83D5B">
        <w:rPr>
          <w:rFonts w:ascii="Arial" w:hAnsi="Arial" w:cs="Arial"/>
          <w:b/>
          <w:sz w:val="24"/>
          <w:szCs w:val="24"/>
          <w:lang w:val="hr-HR"/>
        </w:rPr>
        <w:t xml:space="preserve"> </w:t>
      </w:r>
      <w:r w:rsidR="000778A0" w:rsidRPr="00E83D5B">
        <w:rPr>
          <w:rFonts w:ascii="Arial" w:hAnsi="Arial" w:cs="Arial"/>
          <w:b/>
          <w:sz w:val="24"/>
          <w:szCs w:val="24"/>
          <w:lang w:val="hr-HR"/>
        </w:rPr>
        <w:t xml:space="preserve">                       </w:t>
      </w:r>
    </w:p>
    <w:p w:rsidR="00091FD5" w:rsidRDefault="00947FC8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noProof/>
          <w:lang w:eastAsia="hr-BA"/>
        </w:rPr>
        <w:drawing>
          <wp:inline distT="0" distB="0" distL="0" distR="0" wp14:anchorId="4D318E69" wp14:editId="00336DE7">
            <wp:extent cx="5761355" cy="2293620"/>
            <wp:effectExtent l="0" t="0" r="10795" b="11430"/>
            <wp:docPr id="12" name="Grafikon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947FC8">
        <w:rPr>
          <w:rFonts w:ascii="Arial" w:hAnsi="Arial" w:cs="Arial"/>
          <w:sz w:val="24"/>
          <w:lang w:val="hr-HR"/>
        </w:rPr>
        <w:t>junu/lipnju</w:t>
      </w:r>
      <w:r w:rsidR="00EA7EFB" w:rsidRPr="00EA7EFB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947FC8">
        <w:rPr>
          <w:rFonts w:ascii="Arial" w:hAnsi="Arial" w:cs="Arial"/>
          <w:sz w:val="24"/>
          <w:lang w:val="hr-HR"/>
        </w:rPr>
        <w:t>više</w:t>
      </w:r>
      <w:r w:rsidR="003A5362">
        <w:rPr>
          <w:rFonts w:ascii="Arial" w:hAnsi="Arial" w:cs="Arial"/>
          <w:sz w:val="24"/>
          <w:lang w:val="hr-HR"/>
        </w:rPr>
        <w:t xml:space="preserve"> su za </w:t>
      </w:r>
      <w:r w:rsidR="00947FC8">
        <w:rPr>
          <w:rFonts w:ascii="Arial" w:hAnsi="Arial" w:cs="Arial"/>
          <w:sz w:val="24"/>
          <w:lang w:val="hr-HR"/>
        </w:rPr>
        <w:t>0,86</w:t>
      </w:r>
      <w:r w:rsidR="003A5362">
        <w:rPr>
          <w:rFonts w:ascii="Arial" w:hAnsi="Arial" w:cs="Arial"/>
          <w:sz w:val="24"/>
          <w:lang w:val="hr-HR"/>
        </w:rPr>
        <w:t xml:space="preserve">%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6F7FB7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947FC8">
        <w:rPr>
          <w:rFonts w:ascii="Arial" w:hAnsi="Arial" w:cs="Arial"/>
          <w:sz w:val="24"/>
          <w:lang w:val="hr-HR"/>
        </w:rPr>
        <w:t>junu/lipnju</w:t>
      </w:r>
      <w:r w:rsidR="00EA7EFB" w:rsidRPr="00EA7EFB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1</w:t>
      </w:r>
      <w:r w:rsidR="00947FC8">
        <w:rPr>
          <w:rFonts w:ascii="Arial" w:hAnsi="Arial" w:cs="Arial"/>
          <w:sz w:val="24"/>
          <w:lang w:val="hr-HR"/>
        </w:rPr>
        <w:t>2,07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947FC8">
        <w:rPr>
          <w:rFonts w:ascii="Arial" w:hAnsi="Arial" w:cs="Arial"/>
          <w:sz w:val="24"/>
          <w:lang w:val="hr-HR"/>
        </w:rPr>
        <w:t>jun</w:t>
      </w:r>
      <w:r w:rsidR="00482EC0">
        <w:rPr>
          <w:rFonts w:ascii="Arial" w:hAnsi="Arial" w:cs="Arial"/>
          <w:sz w:val="24"/>
          <w:lang w:val="hr-HR"/>
        </w:rPr>
        <w:t>i</w:t>
      </w:r>
      <w:r w:rsidR="00947FC8">
        <w:rPr>
          <w:rFonts w:ascii="Arial" w:hAnsi="Arial" w:cs="Arial"/>
          <w:sz w:val="24"/>
          <w:lang w:val="hr-HR"/>
        </w:rPr>
        <w:t>/lipanj</w:t>
      </w:r>
      <w:r w:rsidR="00D305C8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</w:t>
      </w:r>
    </w:p>
    <w:p w:rsidR="005612D0" w:rsidRDefault="00DC445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cs="Arial"/>
          <w:sz w:val="28"/>
          <w:szCs w:val="24"/>
          <w:lang w:val="hr-HR"/>
        </w:rPr>
        <w:t xml:space="preserve">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830BFA" w:rsidRDefault="00A521F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</w:t>
      </w:r>
      <w:r w:rsidR="00396DA9">
        <w:rPr>
          <w:rFonts w:cs="Arial"/>
          <w:sz w:val="28"/>
          <w:szCs w:val="24"/>
          <w:lang w:val="hr-HR"/>
        </w:rPr>
        <w:t xml:space="preserve">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</w:p>
    <w:p w:rsidR="005612D0" w:rsidRDefault="00830BFA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lastRenderedPageBreak/>
        <w:t xml:space="preserve">                                                                                                                               </w:t>
      </w:r>
      <w:r w:rsidR="00A523D9" w:rsidRPr="00A523D9">
        <w:rPr>
          <w:rFonts w:cs="Arial"/>
          <w:sz w:val="28"/>
          <w:szCs w:val="24"/>
          <w:lang w:val="hr-HR"/>
        </w:rPr>
        <w:t xml:space="preserve">KM/litru          </w:t>
      </w:r>
    </w:p>
    <w:p w:rsidR="005612D0" w:rsidRDefault="00947FC8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noProof/>
          <w:lang w:eastAsia="hr-BA"/>
        </w:rPr>
        <w:drawing>
          <wp:inline distT="0" distB="0" distL="0" distR="0" wp14:anchorId="639511A6" wp14:editId="78BBAAC6">
            <wp:extent cx="5761355" cy="2255520"/>
            <wp:effectExtent l="0" t="0" r="10795" b="11430"/>
            <wp:docPr id="13" name="Grafikon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junu/lipnju</w:t>
      </w:r>
      <w:r w:rsidR="000722BB" w:rsidRPr="000722B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više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1,33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junu/lipnju</w:t>
      </w:r>
      <w:r w:rsidR="00EA7EFB" w:rsidRPr="00EA7EFB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10,59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jun</w:t>
      </w:r>
      <w:r w:rsidR="00482EC0">
        <w:rPr>
          <w:rFonts w:ascii="Arial" w:eastAsiaTheme="majorEastAsia" w:hAnsi="Arial" w:cs="Arial"/>
          <w:bCs/>
          <w:sz w:val="24"/>
          <w:szCs w:val="24"/>
          <w:lang w:val="hr-HR"/>
        </w:rPr>
        <w:t>i</w:t>
      </w:r>
      <w:r w:rsidR="00947FC8">
        <w:rPr>
          <w:rFonts w:ascii="Arial" w:eastAsiaTheme="majorEastAsia" w:hAnsi="Arial" w:cs="Arial"/>
          <w:bCs/>
          <w:sz w:val="24"/>
          <w:szCs w:val="24"/>
          <w:lang w:val="hr-HR"/>
        </w:rPr>
        <w:t>/lipanj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lastRenderedPageBreak/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r w:rsidR="00447CFF">
        <w:rPr>
          <w:rFonts w:ascii="Arial" w:hAnsi="Arial" w:cs="Arial"/>
          <w:b/>
          <w:sz w:val="24"/>
          <w:lang w:val="hr-HR"/>
        </w:rPr>
        <w:t>jun/lipanj</w:t>
      </w:r>
      <w:r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05473B" w:rsidRPr="009F0F93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Pr="006A15B6" w:rsidRDefault="003D6DE3" w:rsidP="00132EEE">
      <w:pPr>
        <w:spacing w:after="0"/>
        <w:rPr>
          <w:rFonts w:ascii="Arial" w:hAnsi="Arial" w:cs="Arial"/>
          <w:sz w:val="24"/>
          <w:lang w:val="hr-HR"/>
        </w:rPr>
      </w:pPr>
      <w:r w:rsidRPr="003D6DE3">
        <w:drawing>
          <wp:inline distT="0" distB="0" distL="0" distR="0">
            <wp:extent cx="5759970" cy="2293620"/>
            <wp:effectExtent l="0" t="0" r="0" b="0"/>
            <wp:docPr id="23" name="Slika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768" cy="2298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94C" w:rsidRPr="006A15B6" w:rsidRDefault="006A15B6" w:rsidP="00132EEE">
      <w:pPr>
        <w:spacing w:after="0"/>
        <w:rPr>
          <w:rFonts w:ascii="Arial" w:hAnsi="Arial" w:cs="Arial"/>
          <w:sz w:val="24"/>
          <w:lang w:val="hr-HR"/>
        </w:rPr>
      </w:pPr>
      <w:r w:rsidRPr="006A15B6">
        <w:rPr>
          <w:rFonts w:ascii="Arial" w:hAnsi="Arial" w:cs="Arial"/>
          <w:sz w:val="20"/>
          <w:lang w:val="hr-HR"/>
        </w:rPr>
        <w:t xml:space="preserve">Izvor: Federalno ministarstvo trgovine                         </w:t>
      </w:r>
      <w:r w:rsidRPr="006A15B6">
        <w:rPr>
          <w:rFonts w:ascii="Arial" w:hAnsi="Arial" w:cs="Arial"/>
          <w:sz w:val="24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15B6" w:rsidRPr="009F0F93" w:rsidRDefault="006A15B6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3D6DE3">
        <w:rPr>
          <w:rFonts w:ascii="Arial" w:hAnsi="Arial" w:cs="Arial"/>
          <w:sz w:val="24"/>
          <w:lang w:val="hr-HR"/>
        </w:rPr>
        <w:t>juni/lipanj</w:t>
      </w:r>
      <w:r w:rsidR="004F794C" w:rsidRPr="004F794C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SUPER PLUS bezolovnog benzina, BAS EN 228 - BMB 98 evidentirana je u </w:t>
      </w:r>
      <w:proofErr w:type="spellStart"/>
      <w:r w:rsidR="003D6DE3">
        <w:rPr>
          <w:rFonts w:ascii="Arial" w:hAnsi="Arial" w:cs="Arial"/>
          <w:sz w:val="24"/>
          <w:lang w:val="hr-HR"/>
        </w:rPr>
        <w:t>Zapadnohercegovačkom</w:t>
      </w:r>
      <w:proofErr w:type="spellEnd"/>
      <w:r w:rsidR="003D6DE3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 xml:space="preserve">i </w:t>
      </w:r>
      <w:r w:rsidR="003D6DE3">
        <w:rPr>
          <w:rFonts w:ascii="Arial" w:hAnsi="Arial" w:cs="Arial"/>
          <w:sz w:val="24"/>
          <w:lang w:val="hr-HR"/>
        </w:rPr>
        <w:t>Bosansko-</w:t>
      </w:r>
      <w:proofErr w:type="spellStart"/>
      <w:r w:rsidR="003D6DE3">
        <w:rPr>
          <w:rFonts w:ascii="Arial" w:hAnsi="Arial" w:cs="Arial"/>
          <w:sz w:val="24"/>
          <w:lang w:val="hr-HR"/>
        </w:rPr>
        <w:t>podrinjskom</w:t>
      </w:r>
      <w:proofErr w:type="spellEnd"/>
      <w:r w:rsidR="003D6DE3">
        <w:rPr>
          <w:rFonts w:ascii="Arial" w:hAnsi="Arial" w:cs="Arial"/>
          <w:sz w:val="24"/>
          <w:lang w:val="hr-HR"/>
        </w:rPr>
        <w:t xml:space="preserve"> kantonu</w:t>
      </w:r>
      <w:r w:rsidR="00482EC0">
        <w:rPr>
          <w:rFonts w:ascii="Arial" w:hAnsi="Arial" w:cs="Arial"/>
          <w:sz w:val="24"/>
          <w:lang w:val="hr-HR"/>
        </w:rPr>
        <w:t xml:space="preserve"> i</w:t>
      </w:r>
      <w:bookmarkStart w:id="0" w:name="_GoBack"/>
      <w:bookmarkEnd w:id="0"/>
      <w:r w:rsidR="003D6DE3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>iznosi 2,6</w:t>
      </w:r>
      <w:r w:rsidR="003D6DE3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3D6DE3">
        <w:rPr>
          <w:rFonts w:ascii="Arial" w:hAnsi="Arial" w:cs="Arial"/>
          <w:sz w:val="24"/>
          <w:lang w:val="hr-HR"/>
        </w:rPr>
        <w:t>Posavskom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kantonu i iznosi </w:t>
      </w:r>
      <w:r w:rsidR="00923E8B">
        <w:rPr>
          <w:rFonts w:ascii="Arial" w:hAnsi="Arial" w:cs="Arial"/>
          <w:sz w:val="24"/>
          <w:lang w:val="hr-HR"/>
        </w:rPr>
        <w:t>2,</w:t>
      </w:r>
      <w:r w:rsidR="007733A6">
        <w:rPr>
          <w:rFonts w:ascii="Arial" w:hAnsi="Arial" w:cs="Arial"/>
          <w:sz w:val="24"/>
          <w:lang w:val="hr-HR"/>
        </w:rPr>
        <w:t>5</w:t>
      </w:r>
      <w:r w:rsidR="003D6DE3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r w:rsidR="007733A6">
        <w:rPr>
          <w:rFonts w:ascii="Arial" w:hAnsi="Arial" w:cs="Arial"/>
          <w:sz w:val="24"/>
          <w:lang w:val="hr-HR"/>
        </w:rPr>
        <w:t>Bosansko-</w:t>
      </w:r>
      <w:proofErr w:type="spellStart"/>
      <w:r w:rsidR="007733A6">
        <w:rPr>
          <w:rFonts w:ascii="Arial" w:hAnsi="Arial" w:cs="Arial"/>
          <w:sz w:val="24"/>
          <w:lang w:val="hr-HR"/>
        </w:rPr>
        <w:t>podrinjskom</w:t>
      </w:r>
      <w:proofErr w:type="spellEnd"/>
      <w:r w:rsidR="007733A6">
        <w:rPr>
          <w:rFonts w:ascii="Arial" w:hAnsi="Arial" w:cs="Arial"/>
          <w:sz w:val="24"/>
          <w:lang w:val="hr-HR"/>
        </w:rPr>
        <w:t xml:space="preserve"> kantonu</w:t>
      </w:r>
      <w:r w:rsidRPr="009F0F93">
        <w:rPr>
          <w:rFonts w:ascii="Arial" w:hAnsi="Arial" w:cs="Arial"/>
          <w:sz w:val="24"/>
          <w:lang w:val="hr-HR"/>
        </w:rPr>
        <w:t xml:space="preserve"> i iznosi </w:t>
      </w:r>
      <w:r w:rsidR="007733A6">
        <w:rPr>
          <w:rFonts w:ascii="Arial" w:hAnsi="Arial" w:cs="Arial"/>
          <w:sz w:val="24"/>
          <w:lang w:val="hr-HR"/>
        </w:rPr>
        <w:t>2,3</w:t>
      </w:r>
      <w:r w:rsidR="003D6DE3">
        <w:rPr>
          <w:rFonts w:ascii="Arial" w:hAnsi="Arial" w:cs="Arial"/>
          <w:sz w:val="24"/>
          <w:lang w:val="hr-HR"/>
        </w:rPr>
        <w:t>6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7733A6">
        <w:rPr>
          <w:rFonts w:ascii="Arial" w:hAnsi="Arial" w:cs="Arial"/>
          <w:sz w:val="24"/>
          <w:lang w:val="hr-HR"/>
        </w:rPr>
        <w:t xml:space="preserve">Kantonu 10 </w:t>
      </w:r>
      <w:r w:rsidR="00F0645C">
        <w:rPr>
          <w:rFonts w:ascii="Arial" w:hAnsi="Arial" w:cs="Arial"/>
          <w:sz w:val="24"/>
          <w:lang w:val="hr-HR"/>
        </w:rPr>
        <w:t>i iznosi 2,3</w:t>
      </w:r>
      <w:r w:rsidR="003D6DE3">
        <w:rPr>
          <w:rFonts w:ascii="Arial" w:hAnsi="Arial" w:cs="Arial"/>
          <w:sz w:val="24"/>
          <w:lang w:val="hr-HR"/>
        </w:rPr>
        <w:t>1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</w:t>
      </w:r>
      <w:r w:rsidR="00F0645C">
        <w:rPr>
          <w:rFonts w:ascii="Arial" w:hAnsi="Arial" w:cs="Arial"/>
          <w:sz w:val="24"/>
          <w:lang w:val="hr-HR"/>
        </w:rPr>
        <w:t>3</w:t>
      </w:r>
      <w:r w:rsidR="003D6DE3">
        <w:rPr>
          <w:rFonts w:ascii="Arial" w:hAnsi="Arial" w:cs="Arial"/>
          <w:sz w:val="24"/>
          <w:lang w:val="hr-HR"/>
        </w:rPr>
        <w:t>3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F0645C">
        <w:rPr>
          <w:rFonts w:ascii="Arial" w:hAnsi="Arial" w:cs="Arial"/>
          <w:sz w:val="24"/>
          <w:lang w:val="hr-HR"/>
        </w:rPr>
        <w:t>Tuzlanskom kantonu</w:t>
      </w:r>
      <w:r w:rsidR="00923E8B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F0645C">
        <w:rPr>
          <w:rFonts w:ascii="Arial" w:hAnsi="Arial" w:cs="Arial"/>
          <w:sz w:val="24"/>
          <w:lang w:val="hr-HR"/>
        </w:rPr>
        <w:t>2,2</w:t>
      </w:r>
      <w:r w:rsidR="003D6DE3">
        <w:rPr>
          <w:rFonts w:ascii="Arial" w:hAnsi="Arial" w:cs="Arial"/>
          <w:sz w:val="24"/>
          <w:lang w:val="hr-HR"/>
        </w:rPr>
        <w:t>6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Ukupan broj benzinskih pumpi na području Federaciji BiH u </w:t>
      </w:r>
      <w:r w:rsidR="003D6DE3">
        <w:rPr>
          <w:rFonts w:ascii="Arial" w:hAnsi="Arial" w:cs="Arial"/>
          <w:sz w:val="24"/>
          <w:lang w:val="hr-HR"/>
        </w:rPr>
        <w:t>junu/lipnju</w:t>
      </w:r>
      <w:r w:rsidR="00364CB1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iznosi 7</w:t>
      </w:r>
      <w:r w:rsidR="006A15B6">
        <w:rPr>
          <w:rFonts w:ascii="Arial" w:hAnsi="Arial" w:cs="Arial"/>
          <w:sz w:val="24"/>
          <w:lang w:val="hr-HR"/>
        </w:rPr>
        <w:t>1</w:t>
      </w:r>
      <w:r w:rsidR="003D6DE3">
        <w:rPr>
          <w:rFonts w:ascii="Arial" w:hAnsi="Arial" w:cs="Arial"/>
          <w:sz w:val="24"/>
          <w:lang w:val="hr-HR"/>
        </w:rPr>
        <w:t>8</w:t>
      </w:r>
      <w:r w:rsidRPr="009F0F93">
        <w:rPr>
          <w:rFonts w:ascii="Arial" w:hAnsi="Arial" w:cs="Arial"/>
          <w:sz w:val="24"/>
          <w:lang w:val="hr-HR"/>
        </w:rPr>
        <w:t xml:space="preserve">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Najveći broj benzinskih pumpi (137) u Federaciji BiH nalazi u Tuzlanskom kantonu, dok se n</w:t>
      </w:r>
      <w:r w:rsidR="007733A6">
        <w:rPr>
          <w:rFonts w:ascii="Arial" w:hAnsi="Arial" w:cs="Arial"/>
          <w:sz w:val="24"/>
          <w:lang w:val="hr-HR"/>
        </w:rPr>
        <w:t>ajmanji broj benzinskih pumpi (5</w:t>
      </w:r>
      <w:r w:rsidRPr="009F0F93">
        <w:rPr>
          <w:rFonts w:ascii="Arial" w:hAnsi="Arial" w:cs="Arial"/>
          <w:sz w:val="24"/>
          <w:lang w:val="hr-HR"/>
        </w:rPr>
        <w:t>) nalazi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Pr="00DC23BC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lastRenderedPageBreak/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Pr="008D0EA0" w:rsidRDefault="00A67D57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A67D57">
        <w:drawing>
          <wp:inline distT="0" distB="0" distL="0" distR="0">
            <wp:extent cx="5759548" cy="1851660"/>
            <wp:effectExtent l="0" t="0" r="0" b="0"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139" cy="1852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4EB4" w:rsidRDefault="007F2AF0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>
        <w:rPr>
          <w:rFonts w:ascii="Arial" w:hAnsi="Arial" w:cs="Arial"/>
          <w:b w:val="0"/>
          <w:color w:val="auto"/>
          <w:sz w:val="24"/>
          <w:lang w:val="hr-HR"/>
        </w:rPr>
        <w:t>DIZEL</w:t>
      </w:r>
      <w:r w:rsidR="00E50E3B">
        <w:rPr>
          <w:rFonts w:ascii="Arial" w:hAnsi="Arial" w:cs="Arial"/>
          <w:b w:val="0"/>
          <w:color w:val="auto"/>
          <w:sz w:val="24"/>
          <w:lang w:val="hr-HR"/>
        </w:rPr>
        <w:t xml:space="preserve">  </w:t>
      </w:r>
    </w:p>
    <w:p w:rsidR="007F2AF0" w:rsidRPr="007F2AF0" w:rsidRDefault="00A67D57" w:rsidP="007F2AF0">
      <w:pPr>
        <w:spacing w:after="0"/>
        <w:rPr>
          <w:lang w:val="hr-HR"/>
        </w:rPr>
      </w:pPr>
      <w:r w:rsidRPr="00A67D57">
        <w:drawing>
          <wp:inline distT="0" distB="0" distL="0" distR="0">
            <wp:extent cx="5759450" cy="1882140"/>
            <wp:effectExtent l="0" t="0" r="0" b="3810"/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196" cy="1883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EA0" w:rsidRPr="00695E01" w:rsidRDefault="0004513B" w:rsidP="007F2AF0">
      <w:pPr>
        <w:spacing w:after="0"/>
        <w:rPr>
          <w:lang w:val="hr-HR"/>
        </w:rPr>
      </w:pPr>
      <w:r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F80A88" w:rsidRDefault="00F80A88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F80A88" w:rsidRDefault="00F80A88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4F4100" w:rsidRDefault="004F4100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623486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623486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4F4100" w:rsidRDefault="00364CB1" w:rsidP="00364CB1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obavljaju </w:t>
      </w:r>
      <w:r w:rsidRPr="004F4100">
        <w:rPr>
          <w:rFonts w:ascii="Arial" w:hAnsi="Arial" w:cs="Arial"/>
          <w:sz w:val="24"/>
          <w:szCs w:val="24"/>
          <w:lang w:val="hr-HR" w:eastAsia="hr-HR"/>
        </w:rPr>
        <w:lastRenderedPageBreak/>
        <w:t>djelatnost trgovine na malo naftnim derivatima propisana je maksimalna visina marži u apsolutnom iznosu od  0,25 KM/litru derivata. Ova Odluka je još uvijek na snazi.</w:t>
      </w:r>
    </w:p>
    <w:p w:rsidR="00364CB1" w:rsidRPr="004F4100" w:rsidRDefault="00364CB1" w:rsidP="00364CB1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 </w:t>
      </w:r>
      <w:r w:rsidR="00100C7E" w:rsidRPr="004F4100">
        <w:rPr>
          <w:rFonts w:ascii="Arial" w:hAnsi="Arial" w:cs="Arial"/>
          <w:sz w:val="24"/>
          <w:szCs w:val="24"/>
          <w:lang w:val="hr-HR" w:eastAsia="hr-HR"/>
        </w:rPr>
        <w:t xml:space="preserve">  </w:t>
      </w:r>
    </w:p>
    <w:p w:rsidR="000C03AB" w:rsidRPr="004F4100" w:rsidRDefault="000C03AB" w:rsidP="00623486">
      <w:pPr>
        <w:pStyle w:val="Bezproreda"/>
        <w:jc w:val="both"/>
        <w:rPr>
          <w:rFonts w:ascii="Arial" w:hAnsi="Arial" w:cs="Arial"/>
          <w:sz w:val="24"/>
          <w:szCs w:val="24"/>
          <w:lang w:val="hr-HR" w:eastAsia="hr-HR"/>
        </w:rPr>
      </w:pPr>
    </w:p>
    <w:p w:rsidR="006A3E28" w:rsidRPr="004F4100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4F4100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2581" w:rsidRDefault="00722581" w:rsidP="00271BC9">
      <w:pPr>
        <w:spacing w:after="0" w:line="240" w:lineRule="auto"/>
      </w:pPr>
      <w:r>
        <w:separator/>
      </w:r>
    </w:p>
  </w:endnote>
  <w:endnote w:type="continuationSeparator" w:id="0">
    <w:p w:rsidR="00722581" w:rsidRDefault="00722581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2EC0" w:rsidRPr="00482EC0">
          <w:rPr>
            <w:noProof/>
            <w:lang w:val="hr-HR"/>
          </w:rPr>
          <w:t>9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2581" w:rsidRDefault="00722581" w:rsidP="00271BC9">
      <w:pPr>
        <w:spacing w:after="0" w:line="240" w:lineRule="auto"/>
      </w:pPr>
      <w:r>
        <w:separator/>
      </w:r>
    </w:p>
  </w:footnote>
  <w:footnote w:type="continuationSeparator" w:id="0">
    <w:p w:rsidR="00722581" w:rsidRDefault="00722581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64ED9EB7" wp14:editId="0AEECB0B">
          <wp:extent cx="5781675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81675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31A0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5473B"/>
    <w:rsid w:val="00062F49"/>
    <w:rsid w:val="000722BB"/>
    <w:rsid w:val="00074985"/>
    <w:rsid w:val="000778A0"/>
    <w:rsid w:val="000800CB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2DF7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07C"/>
    <w:rsid w:val="0014124A"/>
    <w:rsid w:val="00141A68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179D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433F"/>
    <w:rsid w:val="00246F38"/>
    <w:rsid w:val="00256513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6609"/>
    <w:rsid w:val="00310588"/>
    <w:rsid w:val="0031649A"/>
    <w:rsid w:val="00320B90"/>
    <w:rsid w:val="003214D4"/>
    <w:rsid w:val="00321A1A"/>
    <w:rsid w:val="00322D0A"/>
    <w:rsid w:val="00327A50"/>
    <w:rsid w:val="00332A0D"/>
    <w:rsid w:val="00335DB5"/>
    <w:rsid w:val="00336830"/>
    <w:rsid w:val="00337366"/>
    <w:rsid w:val="003402B5"/>
    <w:rsid w:val="00344BF3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86024"/>
    <w:rsid w:val="0039043E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D5D6A"/>
    <w:rsid w:val="003D6DE3"/>
    <w:rsid w:val="003E5471"/>
    <w:rsid w:val="003E5AD7"/>
    <w:rsid w:val="003F3AAD"/>
    <w:rsid w:val="003F3B49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47CFF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2EC0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1FFF"/>
    <w:rsid w:val="004C4E2E"/>
    <w:rsid w:val="004D0EA0"/>
    <w:rsid w:val="004D4FDA"/>
    <w:rsid w:val="004E552F"/>
    <w:rsid w:val="004E5F9F"/>
    <w:rsid w:val="004F4100"/>
    <w:rsid w:val="004F6751"/>
    <w:rsid w:val="004F794C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12D0"/>
    <w:rsid w:val="00563177"/>
    <w:rsid w:val="00567FD3"/>
    <w:rsid w:val="00573332"/>
    <w:rsid w:val="005744DC"/>
    <w:rsid w:val="00574894"/>
    <w:rsid w:val="00582782"/>
    <w:rsid w:val="00585517"/>
    <w:rsid w:val="005904D0"/>
    <w:rsid w:val="00591777"/>
    <w:rsid w:val="00597D46"/>
    <w:rsid w:val="005A011B"/>
    <w:rsid w:val="005A3F6D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6B8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15B6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E1978"/>
    <w:rsid w:val="006E19E8"/>
    <w:rsid w:val="006E44ED"/>
    <w:rsid w:val="006F7611"/>
    <w:rsid w:val="006F7FB7"/>
    <w:rsid w:val="00704BE6"/>
    <w:rsid w:val="00706350"/>
    <w:rsid w:val="007159CA"/>
    <w:rsid w:val="0071668B"/>
    <w:rsid w:val="0072247B"/>
    <w:rsid w:val="00722581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669F"/>
    <w:rsid w:val="007700F0"/>
    <w:rsid w:val="007708D6"/>
    <w:rsid w:val="007717F1"/>
    <w:rsid w:val="007733A6"/>
    <w:rsid w:val="00774904"/>
    <w:rsid w:val="00776A23"/>
    <w:rsid w:val="007807B3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E8D"/>
    <w:rsid w:val="007E7DD4"/>
    <w:rsid w:val="007F2AF0"/>
    <w:rsid w:val="007F39AC"/>
    <w:rsid w:val="007F7089"/>
    <w:rsid w:val="0080319E"/>
    <w:rsid w:val="00805036"/>
    <w:rsid w:val="00805248"/>
    <w:rsid w:val="00811D21"/>
    <w:rsid w:val="00814398"/>
    <w:rsid w:val="008165C3"/>
    <w:rsid w:val="008166FA"/>
    <w:rsid w:val="00826E9B"/>
    <w:rsid w:val="00830197"/>
    <w:rsid w:val="00830BFA"/>
    <w:rsid w:val="00831F46"/>
    <w:rsid w:val="008339B8"/>
    <w:rsid w:val="00835705"/>
    <w:rsid w:val="0083744B"/>
    <w:rsid w:val="0084473A"/>
    <w:rsid w:val="00844E7D"/>
    <w:rsid w:val="00847451"/>
    <w:rsid w:val="008528E2"/>
    <w:rsid w:val="00854EB9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13CF"/>
    <w:rsid w:val="008A4F5F"/>
    <w:rsid w:val="008B1989"/>
    <w:rsid w:val="008B781F"/>
    <w:rsid w:val="008C041F"/>
    <w:rsid w:val="008C0C21"/>
    <w:rsid w:val="008C5DFF"/>
    <w:rsid w:val="008D0EA0"/>
    <w:rsid w:val="008D2885"/>
    <w:rsid w:val="008D3739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47FC8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6A28"/>
    <w:rsid w:val="00A03843"/>
    <w:rsid w:val="00A05FEA"/>
    <w:rsid w:val="00A06A2E"/>
    <w:rsid w:val="00A070CD"/>
    <w:rsid w:val="00A07D96"/>
    <w:rsid w:val="00A12C73"/>
    <w:rsid w:val="00A13B03"/>
    <w:rsid w:val="00A3461B"/>
    <w:rsid w:val="00A34A8C"/>
    <w:rsid w:val="00A369BC"/>
    <w:rsid w:val="00A41106"/>
    <w:rsid w:val="00A4484F"/>
    <w:rsid w:val="00A521FC"/>
    <w:rsid w:val="00A523D9"/>
    <w:rsid w:val="00A57C60"/>
    <w:rsid w:val="00A67020"/>
    <w:rsid w:val="00A67D57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23738"/>
    <w:rsid w:val="00B30B5B"/>
    <w:rsid w:val="00B323C1"/>
    <w:rsid w:val="00B34B1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4A15"/>
    <w:rsid w:val="00C0755A"/>
    <w:rsid w:val="00C13F5D"/>
    <w:rsid w:val="00C15949"/>
    <w:rsid w:val="00C16D7F"/>
    <w:rsid w:val="00C2701F"/>
    <w:rsid w:val="00C27FAC"/>
    <w:rsid w:val="00C300D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660D"/>
    <w:rsid w:val="00C76BEA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2D1B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6130D"/>
    <w:rsid w:val="00D7096D"/>
    <w:rsid w:val="00D72A71"/>
    <w:rsid w:val="00D76F29"/>
    <w:rsid w:val="00D77D53"/>
    <w:rsid w:val="00D8511B"/>
    <w:rsid w:val="00D877D8"/>
    <w:rsid w:val="00D87C49"/>
    <w:rsid w:val="00D915ED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0E3B"/>
    <w:rsid w:val="00E538FF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5DC1"/>
    <w:rsid w:val="00E976AF"/>
    <w:rsid w:val="00EA0F67"/>
    <w:rsid w:val="00EA149C"/>
    <w:rsid w:val="00EA7761"/>
    <w:rsid w:val="00EA7EFB"/>
    <w:rsid w:val="00EB07BF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63A7"/>
    <w:rsid w:val="00F0645C"/>
    <w:rsid w:val="00F07DF8"/>
    <w:rsid w:val="00F12282"/>
    <w:rsid w:val="00F151A1"/>
    <w:rsid w:val="00F1604C"/>
    <w:rsid w:val="00F20B58"/>
    <w:rsid w:val="00F2133C"/>
    <w:rsid w:val="00F231EE"/>
    <w:rsid w:val="00F23C40"/>
    <w:rsid w:val="00F2561B"/>
    <w:rsid w:val="00F25866"/>
    <w:rsid w:val="00F26B61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3A6"/>
    <w:rsid w:val="00F574A4"/>
    <w:rsid w:val="00F63C90"/>
    <w:rsid w:val="00F66A4C"/>
    <w:rsid w:val="00F7221C"/>
    <w:rsid w:val="00F742E2"/>
    <w:rsid w:val="00F80A88"/>
    <w:rsid w:val="00F87F33"/>
    <w:rsid w:val="00F9240D"/>
    <w:rsid w:val="00F940BC"/>
    <w:rsid w:val="00F94714"/>
    <w:rsid w:val="00F95303"/>
    <w:rsid w:val="00F95C2C"/>
    <w:rsid w:val="00FA05E6"/>
    <w:rsid w:val="00FA2D9B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C2C519C-4CCE-43D1-9F78-6CC8FAEF8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hart" Target="charts/chart5.xm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chart" Target="charts/chart4.xml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hart" Target="charts/chart3.xml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10" Type="http://schemas.openxmlformats.org/officeDocument/2006/relationships/chart" Target="charts/chart2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23"/>
    </mc:Choice>
    <mc:Fallback>
      <c:style val="23"/>
    </mc:Fallback>
  </mc:AlternateContent>
  <c:chart>
    <c:title>
      <c:tx>
        <c:rich>
          <a:bodyPr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r>
              <a:rPr lang="hr-BA" sz="1400" b="1" i="0" u="none" strike="noStrike" baseline="0">
                <a:solidFill>
                  <a:srgbClr val="333399"/>
                </a:solidFill>
                <a:latin typeface="Arial"/>
                <a:cs typeface="Arial"/>
              </a:rPr>
              <a:t>Srednji kurs američkog dolara (USD</a:t>
            </a:r>
            <a:r>
              <a:rPr lang="hr-BA" sz="1400" b="1" i="0" u="none" strike="noStrike" baseline="0">
                <a:solidFill>
                  <a:srgbClr val="333399"/>
                </a:solidFill>
                <a:latin typeface="Calibri"/>
                <a:cs typeface="Calibri"/>
              </a:rPr>
              <a:t>)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5.7485286484036294E-2"/>
          <c:y val="0.15206256732359322"/>
          <c:w val="0.92580162159395818"/>
          <c:h val="0.75413347897986738"/>
        </c:manualLayout>
      </c:layout>
      <c:lineChart>
        <c:grouping val="stacked"/>
        <c:varyColors val="0"/>
        <c:ser>
          <c:idx val="0"/>
          <c:order val="0"/>
          <c:tx>
            <c:strRef>
              <c:f>'srednji kurs USD'!$B$1</c:f>
              <c:strCache>
                <c:ptCount val="1"/>
                <c:pt idx="0">
                  <c:v>Srednji kurs dolara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marker>
            <c:spPr>
              <a:solidFill>
                <a:schemeClr val="accent1"/>
              </a:solidFill>
              <a:ln>
                <a:solidFill>
                  <a:schemeClr val="accent1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'srednji kurs USD'!$A$2:$A$19</c:f>
              <c:strCache>
                <c:ptCount val="18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</c:strCache>
            </c:strRef>
          </c:cat>
          <c:val>
            <c:numRef>
              <c:f>'srednji kurs USD'!$B$2:$B$19</c:f>
              <c:numCache>
                <c:formatCode>0.00</c:formatCode>
                <c:ptCount val="18"/>
                <c:pt idx="0">
                  <c:v>1.79</c:v>
                </c:pt>
                <c:pt idx="1">
                  <c:v>1.81</c:v>
                </c:pt>
                <c:pt idx="2">
                  <c:v>1.8</c:v>
                </c:pt>
                <c:pt idx="3">
                  <c:v>1.8218877</c:v>
                </c:pt>
                <c:pt idx="4">
                  <c:v>1.81</c:v>
                </c:pt>
                <c:pt idx="5">
                  <c:v>1.82</c:v>
                </c:pt>
                <c:pt idx="6">
                  <c:v>1.8</c:v>
                </c:pt>
                <c:pt idx="7">
                  <c:v>1.78</c:v>
                </c:pt>
                <c:pt idx="8">
                  <c:v>1.76</c:v>
                </c:pt>
                <c:pt idx="9">
                  <c:v>1.79</c:v>
                </c:pt>
                <c:pt idx="10">
                  <c:v>1.84</c:v>
                </c:pt>
                <c:pt idx="11">
                  <c:v>1.87</c:v>
                </c:pt>
                <c:pt idx="12">
                  <c:v>1.8879999999999999</c:v>
                </c:pt>
                <c:pt idx="13">
                  <c:v>1.88</c:v>
                </c:pt>
                <c:pt idx="14">
                  <c:v>1.81</c:v>
                </c:pt>
                <c:pt idx="15">
                  <c:v>1.75</c:v>
                </c:pt>
                <c:pt idx="16">
                  <c:v>1.74</c:v>
                </c:pt>
                <c:pt idx="17">
                  <c:v>1.7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64476184"/>
        <c:axId val="464477752"/>
      </c:lineChart>
      <c:catAx>
        <c:axId val="464476184"/>
        <c:scaling>
          <c:orientation val="minMax"/>
        </c:scaling>
        <c:delete val="0"/>
        <c:axPos val="b"/>
        <c:minorGridlines>
          <c:spPr>
            <a:ln>
              <a:gradFill>
                <a:gsLst>
                  <a:gs pos="0">
                    <a:schemeClr val="accent1">
                      <a:tint val="66000"/>
                      <a:satMod val="160000"/>
                      <a:alpha val="99000"/>
                    </a:schemeClr>
                  </a:gs>
                  <a:gs pos="66000">
                    <a:schemeClr val="accent1"/>
                  </a:gs>
                  <a:gs pos="100000">
                    <a:schemeClr val="accent1">
                      <a:tint val="23500"/>
                      <a:satMod val="160000"/>
                    </a:schemeClr>
                  </a:gs>
                </a:gsLst>
                <a:lin ang="5400000" scaled="0"/>
              </a:gradFill>
            </a:ln>
          </c:spPr>
        </c:minorGridlines>
        <c:numFmt formatCode="General" sourceLinked="1"/>
        <c:majorTickMark val="cross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77752"/>
        <c:crosses val="autoZero"/>
        <c:auto val="0"/>
        <c:lblAlgn val="ctr"/>
        <c:lblOffset val="100"/>
        <c:noMultiLvlLbl val="0"/>
      </c:catAx>
      <c:valAx>
        <c:axId val="464477752"/>
        <c:scaling>
          <c:orientation val="minMax"/>
          <c:max val="2"/>
          <c:min val="1.6500000000000001"/>
        </c:scaling>
        <c:delete val="0"/>
        <c:axPos val="l"/>
        <c:majorGridlines/>
        <c:numFmt formatCode="0.00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76184"/>
        <c:crosses val="autoZero"/>
        <c:crossBetween val="between"/>
        <c:majorUnit val="5.000000000000001E-2"/>
      </c:valAx>
      <c:spPr>
        <a:solidFill>
          <a:schemeClr val="bg1"/>
        </a:solidFill>
        <a:ln w="25400">
          <a:solidFill>
            <a:schemeClr val="accent1"/>
          </a:solidFill>
        </a:ln>
      </c:spPr>
    </c:plotArea>
    <c:plotVisOnly val="1"/>
    <c:dispBlanksAs val="zero"/>
    <c:showDLblsOverMax val="0"/>
  </c:chart>
  <c:spPr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5.2435251149161907E-2"/>
          <c:y val="6.0867235345581805E-2"/>
          <c:w val="0.90571150828368674"/>
          <c:h val="0.84104002624671914"/>
        </c:manualLayout>
      </c:layout>
      <c:lineChart>
        <c:grouping val="stacked"/>
        <c:varyColors val="0"/>
        <c:ser>
          <c:idx val="0"/>
          <c:order val="0"/>
          <c:tx>
            <c:strRef>
              <c:f>'WTI-BRENT'!$B$1</c:f>
              <c:strCache>
                <c:ptCount val="1"/>
                <c:pt idx="0">
                  <c:v>WTI </c:v>
                </c:pt>
              </c:strCache>
            </c:strRef>
          </c:tx>
          <c:spPr>
            <a:ln cmpd="dbl"/>
          </c:spPr>
          <c:cat>
            <c:strRef>
              <c:f>'WTI-BRENT'!$A$2:$A$19</c:f>
              <c:strCache>
                <c:ptCount val="18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</c:strCache>
            </c:strRef>
          </c:cat>
          <c:val>
            <c:numRef>
              <c:f>'WTI-BRENT'!$B$2:$B$19</c:f>
              <c:numCache>
                <c:formatCode>0.00</c:formatCode>
                <c:ptCount val="18"/>
                <c:pt idx="0">
                  <c:v>73.64</c:v>
                </c:pt>
                <c:pt idx="1">
                  <c:v>77.08</c:v>
                </c:pt>
                <c:pt idx="2">
                  <c:v>81.010000000000005</c:v>
                </c:pt>
                <c:pt idx="3">
                  <c:v>84.9</c:v>
                </c:pt>
                <c:pt idx="4">
                  <c:v>78.959999999999994</c:v>
                </c:pt>
                <c:pt idx="5">
                  <c:v>78.010000000000005</c:v>
                </c:pt>
                <c:pt idx="6">
                  <c:v>76.739999999999995</c:v>
                </c:pt>
                <c:pt idx="7">
                  <c:v>75.430000000000007</c:v>
                </c:pt>
                <c:pt idx="8">
                  <c:v>69.33</c:v>
                </c:pt>
                <c:pt idx="9">
                  <c:v>72.849999999999994</c:v>
                </c:pt>
                <c:pt idx="10">
                  <c:v>69.52</c:v>
                </c:pt>
                <c:pt idx="11">
                  <c:v>70.62</c:v>
                </c:pt>
                <c:pt idx="12">
                  <c:v>75.319999999999993</c:v>
                </c:pt>
                <c:pt idx="13">
                  <c:v>71.39</c:v>
                </c:pt>
                <c:pt idx="14">
                  <c:v>67.823999999999998</c:v>
                </c:pt>
                <c:pt idx="15">
                  <c:v>63.1</c:v>
                </c:pt>
                <c:pt idx="16">
                  <c:v>61.356099999999998</c:v>
                </c:pt>
                <c:pt idx="17">
                  <c:v>66.819999999999993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upDownBars>
          <c:gapWidth val="150"/>
          <c:upBars/>
          <c:downBars/>
        </c:upDownBars>
        <c:marker val="1"/>
        <c:smooth val="0"/>
        <c:axId val="464479320"/>
        <c:axId val="464479712"/>
      </c:lineChart>
      <c:lineChart>
        <c:grouping val="stacked"/>
        <c:varyColors val="0"/>
        <c:ser>
          <c:idx val="1"/>
          <c:order val="1"/>
          <c:tx>
            <c:strRef>
              <c:f>'WTI-BRENT'!$C$1</c:f>
              <c:strCache>
                <c:ptCount val="1"/>
                <c:pt idx="0">
                  <c:v>BRENT</c:v>
                </c:pt>
              </c:strCache>
            </c:strRef>
          </c:tx>
          <c:spPr>
            <a:ln w="28575" cmpd="sng">
              <a:solidFill>
                <a:srgbClr val="FF0000"/>
              </a:solidFill>
              <a:prstDash val="solid"/>
            </a:ln>
          </c:spPr>
          <c:marker>
            <c:spPr>
              <a:solidFill>
                <a:srgbClr val="FF0000"/>
              </a:solidFill>
              <a:ln>
                <a:noFill/>
                <a:tailEnd type="oval"/>
              </a:ln>
            </c:spPr>
          </c:marker>
          <c:dLbls>
            <c:spPr>
              <a:ln w="88900" cap="rnd" cmpd="dbl">
                <a:prstDash val="sysDash"/>
                <a:beve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FF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'WTI-BRENT'!$A$2:$A$19</c:f>
              <c:strCache>
                <c:ptCount val="18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</c:strCache>
            </c:strRef>
          </c:cat>
          <c:val>
            <c:numRef>
              <c:f>'WTI-BRENT'!$C$2:$C$19</c:f>
              <c:numCache>
                <c:formatCode>0.00</c:formatCode>
                <c:ptCount val="18"/>
                <c:pt idx="0">
                  <c:v>79.19</c:v>
                </c:pt>
                <c:pt idx="1">
                  <c:v>82.02</c:v>
                </c:pt>
                <c:pt idx="2">
                  <c:v>85.09</c:v>
                </c:pt>
                <c:pt idx="3">
                  <c:v>89.19</c:v>
                </c:pt>
                <c:pt idx="4">
                  <c:v>82.61</c:v>
                </c:pt>
                <c:pt idx="5">
                  <c:v>82.15</c:v>
                </c:pt>
                <c:pt idx="6">
                  <c:v>79.900000000000006</c:v>
                </c:pt>
                <c:pt idx="7">
                  <c:v>78.88</c:v>
                </c:pt>
                <c:pt idx="8">
                  <c:v>72.599999999999994</c:v>
                </c:pt>
                <c:pt idx="9">
                  <c:v>76</c:v>
                </c:pt>
                <c:pt idx="10">
                  <c:v>73.25</c:v>
                </c:pt>
                <c:pt idx="11">
                  <c:v>77.599999999999994</c:v>
                </c:pt>
                <c:pt idx="12">
                  <c:v>78.314999999999998</c:v>
                </c:pt>
                <c:pt idx="13">
                  <c:v>75.099999999999994</c:v>
                </c:pt>
                <c:pt idx="14">
                  <c:v>71.312899999999999</c:v>
                </c:pt>
                <c:pt idx="15">
                  <c:v>66.28</c:v>
                </c:pt>
                <c:pt idx="16">
                  <c:v>64.371099999999998</c:v>
                </c:pt>
                <c:pt idx="17">
                  <c:v>70.099999999999994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64480104"/>
        <c:axId val="464484416"/>
      </c:lineChart>
      <c:catAx>
        <c:axId val="46447932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79712"/>
        <c:crossesAt val="0"/>
        <c:auto val="1"/>
        <c:lblAlgn val="ctr"/>
        <c:lblOffset val="100"/>
        <c:noMultiLvlLbl val="0"/>
      </c:catAx>
      <c:valAx>
        <c:axId val="464479712"/>
        <c:scaling>
          <c:orientation val="minMax"/>
          <c:max val="120"/>
          <c:min val="40"/>
        </c:scaling>
        <c:delete val="0"/>
        <c:axPos val="l"/>
        <c:numFmt formatCode="[$$-409]#,##0" sourceLinked="0"/>
        <c:majorTickMark val="none"/>
        <c:minorTickMark val="none"/>
        <c:tickLblPos val="nextTo"/>
        <c:spPr>
          <a:ln/>
        </c:spPr>
        <c:txPr>
          <a:bodyPr rot="0" vert="horz" anchor="t" anchorCtr="1"/>
          <a:lstStyle/>
          <a:p>
            <a:pPr>
              <a:defRPr sz="800" b="1" i="0" u="none" strike="noStrike" baseline="0">
                <a:ln>
                  <a:noFill/>
                </a:ln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79320"/>
        <c:crosses val="autoZero"/>
        <c:crossBetween val="between"/>
        <c:majorUnit val="10"/>
      </c:valAx>
      <c:catAx>
        <c:axId val="464480104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64484416"/>
        <c:crosses val="autoZero"/>
        <c:auto val="1"/>
        <c:lblAlgn val="ctr"/>
        <c:lblOffset val="100"/>
        <c:noMultiLvlLbl val="0"/>
      </c:catAx>
      <c:valAx>
        <c:axId val="464484416"/>
        <c:scaling>
          <c:orientation val="minMax"/>
          <c:max val="120"/>
          <c:min val="30"/>
        </c:scaling>
        <c:delete val="0"/>
        <c:axPos val="r"/>
        <c:numFmt formatCode="[$$-409]#,##0" sourceLinked="0"/>
        <c:majorTickMark val="out"/>
        <c:minorTickMark val="cross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80104"/>
        <c:crosses val="max"/>
        <c:crossBetween val="between"/>
      </c:valAx>
      <c:spPr>
        <a:solidFill>
          <a:schemeClr val="bg1"/>
        </a:solidFill>
        <a:ln w="25400" cmpd="sng">
          <a:solidFill>
            <a:srgbClr val="C00000"/>
          </a:solidFill>
        </a:ln>
        <a:effectLst>
          <a:innerShdw>
            <a:srgbClr val="C00000"/>
          </a:innerShdw>
        </a:effectLst>
        <a:scene3d>
          <a:camera prst="orthographicFront"/>
          <a:lightRig rig="threePt" dir="t"/>
        </a:scene3d>
        <a:sp3d>
          <a:bevelT w="0" h="0"/>
        </a:sp3d>
      </c:spPr>
    </c:plotArea>
    <c:legend>
      <c:legendPos val="r"/>
      <c:legendEntry>
        <c:idx val="0"/>
        <c:txPr>
          <a:bodyPr/>
          <a:lstStyle/>
          <a:p>
            <a:pPr>
              <a:defRPr sz="780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egendEntry>
        <c:idx val="1"/>
        <c:txPr>
          <a:bodyPr/>
          <a:lstStyle/>
          <a:p>
            <a:pPr>
              <a:defRPr sz="78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ayout>
        <c:manualLayout>
          <c:xMode val="edge"/>
          <c:yMode val="edge"/>
          <c:x val="0.39076623774236607"/>
          <c:y val="0.10821256038647342"/>
          <c:w val="0.21959482556186705"/>
          <c:h val="7.9227053140096593E-2"/>
        </c:manualLayout>
      </c:layout>
      <c:overlay val="0"/>
      <c:txPr>
        <a:bodyPr/>
        <a:lstStyle/>
        <a:p>
          <a:pPr>
            <a:defRPr sz="7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r-Latn-RS"/>
        </a:p>
      </c:txPr>
    </c:legend>
    <c:plotVisOnly val="1"/>
    <c:dispBlanksAs val="zero"/>
    <c:showDLblsOverMax val="0"/>
  </c:chart>
  <c:spPr>
    <a:solidFill>
      <a:schemeClr val="bg1"/>
    </a:solidFill>
    <a:ln w="25400">
      <a:solidFill>
        <a:srgbClr val="C00000"/>
      </a:solidFill>
    </a:ln>
    <a:effectLst>
      <a:outerShdw sx="1000" sy="1000" algn="ctr" rotWithShape="0">
        <a:srgbClr val="C00000"/>
      </a:outerShdw>
    </a:effectLst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84479345570616637"/>
          <c:y val="0.76857917190318648"/>
        </c:manualLayout>
      </c:layout>
      <c:overlay val="0"/>
      <c:spPr>
        <a:solidFill>
          <a:schemeClr val="bg1"/>
        </a:solidFill>
        <a:ln>
          <a:solidFill>
            <a:schemeClr val="bg1"/>
          </a:solidFill>
        </a:ln>
      </c:spPr>
      <c:txPr>
        <a:bodyPr/>
        <a:lstStyle/>
        <a:p>
          <a:pPr>
            <a:defRPr sz="1200" b="1" i="0" u="none" strike="noStrike" baseline="0">
              <a:solidFill>
                <a:srgbClr val="333399"/>
              </a:solidFill>
              <a:latin typeface="Arial"/>
              <a:ea typeface="Arial"/>
              <a:cs typeface="Arial"/>
            </a:defRPr>
          </a:pPr>
          <a:endParaRPr lang="sr-Latn-RS"/>
        </a:p>
      </c:txPr>
    </c:title>
    <c:autoTitleDeleted val="0"/>
    <c:plotArea>
      <c:layout>
        <c:manualLayout>
          <c:layoutTarget val="inner"/>
          <c:xMode val="edge"/>
          <c:yMode val="edge"/>
          <c:x val="6.3828561163129155E-2"/>
          <c:y val="6.8593897881723903E-2"/>
          <c:w val="0.91724498837513047"/>
          <c:h val="0.83830263039549957"/>
        </c:manualLayout>
      </c:layout>
      <c:lineChart>
        <c:grouping val="stacked"/>
        <c:varyColors val="0"/>
        <c:ser>
          <c:idx val="0"/>
          <c:order val="0"/>
          <c:tx>
            <c:strRef>
              <c:f>'BMB 98'!$B$1</c:f>
              <c:strCache>
                <c:ptCount val="1"/>
                <c:pt idx="0">
                  <c:v>BMB 98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98'!$A$2:$A$19</c:f>
              <c:strCache>
                <c:ptCount val="18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</c:strCache>
            </c:strRef>
          </c:cat>
          <c:val>
            <c:numRef>
              <c:f>'BMB 98'!$B$2:$B$19</c:f>
              <c:numCache>
                <c:formatCode>0.00</c:formatCode>
                <c:ptCount val="18"/>
                <c:pt idx="0">
                  <c:v>2.76</c:v>
                </c:pt>
                <c:pt idx="1">
                  <c:v>2.74</c:v>
                </c:pt>
                <c:pt idx="2">
                  <c:v>2.73</c:v>
                </c:pt>
                <c:pt idx="3">
                  <c:v>2.8</c:v>
                </c:pt>
                <c:pt idx="4">
                  <c:v>2.85</c:v>
                </c:pt>
                <c:pt idx="5">
                  <c:v>2.82</c:v>
                </c:pt>
                <c:pt idx="6">
                  <c:v>2.82</c:v>
                </c:pt>
                <c:pt idx="7">
                  <c:v>2.81</c:v>
                </c:pt>
                <c:pt idx="8">
                  <c:v>2.76</c:v>
                </c:pt>
                <c:pt idx="9">
                  <c:v>2.71</c:v>
                </c:pt>
                <c:pt idx="10">
                  <c:v>2.7</c:v>
                </c:pt>
                <c:pt idx="11">
                  <c:v>2.69</c:v>
                </c:pt>
                <c:pt idx="12">
                  <c:v>2.69</c:v>
                </c:pt>
                <c:pt idx="13">
                  <c:v>2.7</c:v>
                </c:pt>
                <c:pt idx="14">
                  <c:v>2.68</c:v>
                </c:pt>
                <c:pt idx="15">
                  <c:v>2.64</c:v>
                </c:pt>
                <c:pt idx="16">
                  <c:v>2.6</c:v>
                </c:pt>
                <c:pt idx="17">
                  <c:v>2.59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64485592"/>
        <c:axId val="464485984"/>
      </c:lineChart>
      <c:catAx>
        <c:axId val="4644855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85984"/>
        <c:crosses val="autoZero"/>
        <c:auto val="1"/>
        <c:lblAlgn val="ctr"/>
        <c:lblOffset val="100"/>
        <c:noMultiLvlLbl val="0"/>
      </c:catAx>
      <c:valAx>
        <c:axId val="464485984"/>
        <c:scaling>
          <c:orientation val="minMax"/>
          <c:max val="3.2"/>
          <c:min val="2.2000000000000002"/>
        </c:scaling>
        <c:delete val="0"/>
        <c:axPos val="l"/>
        <c:numFmt formatCode="0.00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85592"/>
        <c:crosses val="autoZero"/>
        <c:crossBetween val="between"/>
        <c:majorUnit val="0.1"/>
      </c:valAx>
      <c:spPr>
        <a:solidFill>
          <a:schemeClr val="bg1"/>
        </a:solidFill>
        <a:ln w="25400" cmpd="sng">
          <a:solidFill>
            <a:schemeClr val="accent1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BMB 95</a:t>
            </a:r>
          </a:p>
        </c:rich>
      </c:tx>
      <c:layout>
        <c:manualLayout>
          <c:xMode val="edge"/>
          <c:yMode val="edge"/>
          <c:x val="0.84565974497318774"/>
          <c:y val="0.74477812366477447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6.3828561163129155E-2"/>
          <c:y val="6.6172140067857377E-2"/>
          <c:w val="0.91657778421916369"/>
          <c:h val="0.82071661773985582"/>
        </c:manualLayout>
      </c:layout>
      <c:lineChart>
        <c:grouping val="stacked"/>
        <c:varyColors val="0"/>
        <c:ser>
          <c:idx val="0"/>
          <c:order val="0"/>
          <c:tx>
            <c:strRef>
              <c:f>'BMB 95'!$B$1</c:f>
              <c:strCache>
                <c:ptCount val="1"/>
                <c:pt idx="0">
                  <c:v>BMB 95</c:v>
                </c:pt>
              </c:strCache>
            </c:strRef>
          </c:tx>
          <c:spPr>
            <a:ln cap="rnd">
              <a:solidFill>
                <a:srgbClr val="FF0000"/>
              </a:solidFill>
            </a:ln>
          </c:spPr>
          <c:marker>
            <c:symbol val="diamond"/>
            <c:size val="7"/>
            <c:spPr>
              <a:solidFill>
                <a:srgbClr val="FF0000"/>
              </a:solidFill>
              <a:ln>
                <a:solidFill>
                  <a:srgbClr val="FF0000"/>
                </a:solidFill>
              </a:ln>
            </c:spPr>
          </c:marker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dPt>
            <c:idx val="6"/>
            <c:bubble3D val="0"/>
          </c:dPt>
          <c:dPt>
            <c:idx val="7"/>
            <c:bubble3D val="0"/>
          </c:dPt>
          <c:dPt>
            <c:idx val="8"/>
            <c:bubble3D val="0"/>
          </c:dPt>
          <c:dPt>
            <c:idx val="9"/>
            <c:bubble3D val="0"/>
          </c:dPt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'BMB 95'!$A$2:$A$19</c:f>
              <c:strCache>
                <c:ptCount val="18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 2024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</c:strCache>
            </c:strRef>
          </c:cat>
          <c:val>
            <c:numRef>
              <c:f>'BMB 95'!$B$2:$B$19</c:f>
              <c:numCache>
                <c:formatCode>General</c:formatCode>
                <c:ptCount val="18"/>
                <c:pt idx="0" formatCode="0.00">
                  <c:v>2.5099999999999998</c:v>
                </c:pt>
                <c:pt idx="1">
                  <c:v>2.54</c:v>
                </c:pt>
                <c:pt idx="2">
                  <c:v>2.61</c:v>
                </c:pt>
                <c:pt idx="3" formatCode="0.00">
                  <c:v>2.7</c:v>
                </c:pt>
                <c:pt idx="4">
                  <c:v>2.73</c:v>
                </c:pt>
                <c:pt idx="5">
                  <c:v>2.65</c:v>
                </c:pt>
                <c:pt idx="6">
                  <c:v>2.64</c:v>
                </c:pt>
                <c:pt idx="7" formatCode="0.00">
                  <c:v>2.6</c:v>
                </c:pt>
                <c:pt idx="8">
                  <c:v>2.48</c:v>
                </c:pt>
                <c:pt idx="9">
                  <c:v>2.42</c:v>
                </c:pt>
                <c:pt idx="10">
                  <c:v>2.4300000000000002</c:v>
                </c:pt>
                <c:pt idx="11">
                  <c:v>2.4300000000000002</c:v>
                </c:pt>
                <c:pt idx="12" formatCode="0.00">
                  <c:v>2.4500000000000002</c:v>
                </c:pt>
                <c:pt idx="13">
                  <c:v>2.4900000000000002</c:v>
                </c:pt>
                <c:pt idx="14">
                  <c:v>2.44</c:v>
                </c:pt>
                <c:pt idx="15" formatCode="0.00">
                  <c:v>2.37</c:v>
                </c:pt>
                <c:pt idx="16">
                  <c:v>2.31</c:v>
                </c:pt>
                <c:pt idx="17">
                  <c:v>2.33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464485200"/>
        <c:axId val="460227752"/>
      </c:lineChart>
      <c:catAx>
        <c:axId val="4644852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0227752"/>
        <c:crosses val="autoZero"/>
        <c:auto val="1"/>
        <c:lblAlgn val="ctr"/>
        <c:lblOffset val="100"/>
        <c:noMultiLvlLbl val="0"/>
      </c:catAx>
      <c:valAx>
        <c:axId val="460227752"/>
        <c:scaling>
          <c:orientation val="minMax"/>
          <c:max val="3.1"/>
          <c:min val="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4485200"/>
        <c:crosses val="autoZero"/>
        <c:crossBetween val="between"/>
        <c:majorUnit val="0.1"/>
        <c:minorUnit val="2.0000000000000004E-2"/>
      </c:valAx>
      <c:spPr>
        <a:solidFill>
          <a:schemeClr val="bg1"/>
        </a:solidFill>
        <a:ln w="25400">
          <a:solidFill>
            <a:srgbClr val="FF0000"/>
          </a:solidFill>
        </a:ln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>
      <a:solidFill>
        <a:srgbClr val="FF0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r-Latn-R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FFCC00"/>
                </a:solidFill>
                <a:latin typeface="Arial"/>
                <a:ea typeface="Arial"/>
                <a:cs typeface="Arial"/>
              </a:defRPr>
            </a:pPr>
            <a:r>
              <a:rPr lang="hr-BA"/>
              <a:t>DIZEL BAS EN 590 (10 ppm)</a:t>
            </a:r>
          </a:p>
        </c:rich>
      </c:tx>
      <c:layout>
        <c:manualLayout>
          <c:xMode val="edge"/>
          <c:yMode val="edge"/>
          <c:x val="0.60139984430745896"/>
          <c:y val="0.7640637192310421"/>
        </c:manualLayout>
      </c:layout>
      <c:overlay val="0"/>
      <c:spPr>
        <a:solidFill>
          <a:schemeClr val="bg1"/>
        </a:solidFill>
      </c:spPr>
    </c:title>
    <c:autoTitleDeleted val="0"/>
    <c:plotArea>
      <c:layout>
        <c:manualLayout>
          <c:layoutTarget val="inner"/>
          <c:xMode val="edge"/>
          <c:yMode val="edge"/>
          <c:x val="6.1624218608296137E-2"/>
          <c:y val="7.6274324932684379E-2"/>
          <c:w val="0.92366500588837175"/>
          <c:h val="0.81598798936540684"/>
        </c:manualLayout>
      </c:layout>
      <c:lineChart>
        <c:grouping val="stacked"/>
        <c:varyColors val="0"/>
        <c:ser>
          <c:idx val="0"/>
          <c:order val="0"/>
          <c:spPr>
            <a:ln>
              <a:solidFill>
                <a:srgbClr val="FFC000"/>
              </a:solidFill>
            </a:ln>
          </c:spPr>
          <c:marker>
            <c:spPr>
              <a:solidFill>
                <a:srgbClr val="FFC000"/>
              </a:solidFill>
              <a:ln>
                <a:solidFill>
                  <a:srgbClr val="FFC000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DIZEL!$A$2:$A$19</c:f>
              <c:strCache>
                <c:ptCount val="18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</c:strCache>
            </c:strRef>
          </c:cat>
          <c:val>
            <c:numRef>
              <c:f>DIZEL!$B$2:$B$19</c:f>
              <c:numCache>
                <c:formatCode>0.00</c:formatCode>
                <c:ptCount val="18"/>
                <c:pt idx="0">
                  <c:v>2.61</c:v>
                </c:pt>
                <c:pt idx="1">
                  <c:v>2.68</c:v>
                </c:pt>
                <c:pt idx="2">
                  <c:v>2.71</c:v>
                </c:pt>
                <c:pt idx="3">
                  <c:v>2.7</c:v>
                </c:pt>
                <c:pt idx="4">
                  <c:v>2.62</c:v>
                </c:pt>
                <c:pt idx="5">
                  <c:v>2.5499999999999998</c:v>
                </c:pt>
                <c:pt idx="6">
                  <c:v>2.6</c:v>
                </c:pt>
                <c:pt idx="7">
                  <c:v>2.52</c:v>
                </c:pt>
                <c:pt idx="8">
                  <c:v>2.41</c:v>
                </c:pt>
                <c:pt idx="9">
                  <c:v>2.39</c:v>
                </c:pt>
                <c:pt idx="10">
                  <c:v>2.42</c:v>
                </c:pt>
                <c:pt idx="11">
                  <c:v>2.46</c:v>
                </c:pt>
                <c:pt idx="12">
                  <c:v>2.5</c:v>
                </c:pt>
                <c:pt idx="13">
                  <c:v>2.54</c:v>
                </c:pt>
                <c:pt idx="14">
                  <c:v>2.46</c:v>
                </c:pt>
                <c:pt idx="15">
                  <c:v>2.34</c:v>
                </c:pt>
                <c:pt idx="16">
                  <c:v>2.25</c:v>
                </c:pt>
                <c:pt idx="17">
                  <c:v>2.2799999999999998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460228536"/>
        <c:axId val="460231280"/>
      </c:lineChart>
      <c:catAx>
        <c:axId val="4602285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0231280"/>
        <c:crosses val="autoZero"/>
        <c:auto val="1"/>
        <c:lblAlgn val="ctr"/>
        <c:lblOffset val="100"/>
        <c:noMultiLvlLbl val="0"/>
      </c:catAx>
      <c:valAx>
        <c:axId val="460231280"/>
        <c:scaling>
          <c:orientation val="minMax"/>
          <c:max val="3"/>
          <c:min val="2"/>
        </c:scaling>
        <c:delete val="0"/>
        <c:axPos val="l"/>
        <c:numFmt formatCode="#,##0.00" sourceLinked="0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60228536"/>
        <c:crosses val="autoZero"/>
        <c:crossBetween val="between"/>
        <c:majorUnit val="0.1"/>
      </c:valAx>
      <c:spPr>
        <a:solidFill>
          <a:schemeClr val="bg1"/>
        </a:solidFill>
        <a:ln w="25400" cap="flat" cmpd="sng">
          <a:solidFill>
            <a:srgbClr val="FFC000"/>
          </a:solidFill>
          <a:round/>
        </a:ln>
        <a:effectLst>
          <a:glow>
            <a:schemeClr val="bg1"/>
          </a:glow>
        </a:effectLst>
        <a:scene3d>
          <a:camera prst="orthographicFront"/>
          <a:lightRig rig="threePt" dir="t"/>
        </a:scene3d>
        <a:sp3d>
          <a:bevelT w="0" h="0"/>
          <a:bevelB w="0" h="0"/>
        </a:sp3d>
      </c:spPr>
    </c:plotArea>
    <c:plotVisOnly val="1"/>
    <c:dispBlanksAs val="zero"/>
    <c:showDLblsOverMax val="0"/>
  </c:chart>
  <c:spPr>
    <a:solidFill>
      <a:schemeClr val="bg1"/>
    </a:solidFill>
    <a:ln w="25400" cmpd="thickThin">
      <a:solidFill>
        <a:srgbClr val="FFC000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84DDF-B3BE-4FB6-868A-E313EA43F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9</Pages>
  <Words>1349</Words>
  <Characters>7690</Characters>
  <Application>Microsoft Office Word</Application>
  <DocSecurity>0</DocSecurity>
  <Lines>64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 Milavić</dc:creator>
  <cp:lastModifiedBy>X</cp:lastModifiedBy>
  <cp:revision>4</cp:revision>
  <cp:lastPrinted>2025-06-24T11:40:00Z</cp:lastPrinted>
  <dcterms:created xsi:type="dcterms:W3CDTF">2025-07-04T11:08:00Z</dcterms:created>
  <dcterms:modified xsi:type="dcterms:W3CDTF">2025-07-04T12:39:00Z</dcterms:modified>
</cp:coreProperties>
</file>