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6A66" w:rsidRPr="009B5C9B" w:rsidRDefault="009D6121" w:rsidP="00A70AB6">
      <w:pPr>
        <w:jc w:val="center"/>
        <w:rPr>
          <w:rFonts w:ascii="Arial" w:hAnsi="Arial" w:cs="Arial"/>
          <w:sz w:val="24"/>
          <w:lang w:val="hr-HR"/>
        </w:rPr>
      </w:pPr>
      <w:r>
        <w:rPr>
          <w:rFonts w:ascii="Arial" w:hAnsi="Arial" w:cs="Arial"/>
          <w:sz w:val="24"/>
          <w:lang w:val="hr-HR"/>
        </w:rPr>
        <w:t xml:space="preserve"> </w:t>
      </w:r>
      <w:r w:rsidR="00910C5F">
        <w:rPr>
          <w:rFonts w:ascii="Arial" w:hAnsi="Arial" w:cs="Arial"/>
          <w:sz w:val="24"/>
          <w:lang w:val="hr-HR"/>
        </w:rPr>
        <w:t xml:space="preserve"> </w:t>
      </w:r>
      <w:r w:rsidR="0046725D">
        <w:rPr>
          <w:rFonts w:ascii="Arial" w:hAnsi="Arial" w:cs="Arial"/>
          <w:sz w:val="24"/>
          <w:lang w:val="hr-HR"/>
        </w:rPr>
        <w:t xml:space="preserve"> </w:t>
      </w:r>
      <w:r w:rsidR="00462A92">
        <w:rPr>
          <w:rFonts w:ascii="Arial" w:hAnsi="Arial" w:cs="Arial"/>
          <w:sz w:val="24"/>
          <w:lang w:val="hr-HR"/>
        </w:rPr>
        <w:t xml:space="preserve"> </w:t>
      </w:r>
      <w:r w:rsidR="00B62ABC">
        <w:rPr>
          <w:rFonts w:ascii="Arial" w:hAnsi="Arial" w:cs="Arial"/>
          <w:sz w:val="24"/>
          <w:lang w:val="hr-HR"/>
        </w:rPr>
        <w:t xml:space="preserve"> </w:t>
      </w:r>
      <w:r w:rsidR="00F36A66" w:rsidRPr="009B5C9B">
        <w:rPr>
          <w:rFonts w:ascii="Arial" w:hAnsi="Arial" w:cs="Arial"/>
          <w:noProof/>
          <w:sz w:val="24"/>
          <w:lang w:eastAsia="hr-BA"/>
        </w:rPr>
        <w:drawing>
          <wp:inline distT="0" distB="0" distL="0" distR="0" wp14:anchorId="54515FC7" wp14:editId="50D435CD">
            <wp:extent cx="6027089" cy="752057"/>
            <wp:effectExtent l="0" t="0" r="0" b="0"/>
            <wp:docPr id="7" name="Sli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64758" cy="7567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  <w:r w:rsidRPr="009B5C9B">
        <w:rPr>
          <w:rFonts w:ascii="Arial" w:eastAsiaTheme="majorEastAsia" w:hAnsi="Arial" w:cs="Arial"/>
          <w:color w:val="000000" w:themeColor="text1"/>
          <w:spacing w:val="60"/>
          <w:kern w:val="24"/>
          <w:lang w:val="hr-HR"/>
          <w14:shadow w14:blurRad="38100" w14:dist="38100" w14:dir="2700000" w14:sx="100000" w14:sy="100000" w14:kx="0" w14:ky="0" w14:algn="tl">
            <w14:srgbClr w14:val="000000">
              <w14:alpha w14:val="57000"/>
            </w14:srgbClr>
          </w14:shadow>
        </w:rPr>
        <w:t>Bosna i Hercegovina                                                                                                                                 Federacija Bosne i Hercegovine</w:t>
      </w: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6728AB" w:rsidRDefault="00DA03BD" w:rsidP="006728AB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 w:rsidRPr="006728AB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>FEDERALNO MINISTARSTVO TRGOVINE</w:t>
      </w:r>
    </w:p>
    <w:p w:rsidR="006728AB" w:rsidRDefault="006728AB" w:rsidP="007E413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>
        <w:rPr>
          <w:rFonts w:asciiTheme="majorHAnsi" w:eastAsiaTheme="minorEastAsia" w:hAnsiTheme="majorHAnsi" w:cs="Arial"/>
          <w:noProof/>
          <w:color w:val="1F497D" w:themeColor="text2"/>
          <w:kern w:val="24"/>
          <w:sz w:val="52"/>
          <w:szCs w:val="5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2729</wp:posOffset>
                </wp:positionH>
                <wp:positionV relativeFrom="paragraph">
                  <wp:posOffset>314754</wp:posOffset>
                </wp:positionV>
                <wp:extent cx="5735781" cy="0"/>
                <wp:effectExtent l="0" t="0" r="17780" b="19050"/>
                <wp:wrapNone/>
                <wp:docPr id="16" name="Ravni poveznik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35781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257142D" id="Ravni poveznik 16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2pt,24.8pt" to="451.85pt,2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" strokecolor="#0f243e [1615]"/>
            </w:pict>
          </mc:Fallback>
        </mc:AlternateContent>
      </w:r>
    </w:p>
    <w:p w:rsidR="00DA03BD" w:rsidRPr="00B84C7D" w:rsidRDefault="00DA03BD" w:rsidP="007E413D">
      <w:pPr>
        <w:pStyle w:val="StandardWeb"/>
        <w:spacing w:before="77" w:beforeAutospacing="0" w:after="0" w:afterAutospacing="0"/>
        <w:jc w:val="center"/>
        <w:rPr>
          <w:rFonts w:asciiTheme="majorHAnsi" w:hAnsiTheme="majorHAnsi" w:cs="Arial"/>
          <w:color w:val="0F243E" w:themeColor="text2" w:themeShade="80"/>
          <w:sz w:val="52"/>
          <w:szCs w:val="52"/>
        </w:rPr>
      </w:pPr>
      <w:r w:rsidRPr="00B84C7D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 xml:space="preserve">MJESEČNI BILTEN CIJENA </w:t>
      </w:r>
    </w:p>
    <w:p w:rsidR="00B84C7D" w:rsidRDefault="00DA03B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 w:rsidRPr="00B84C7D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 xml:space="preserve">NAFTNIH DERIVATA </w:t>
      </w: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262D3E" w:rsidRDefault="00262D3E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262D3E" w:rsidRPr="00B84C7D" w:rsidRDefault="00262D3E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30B5B" w:rsidRDefault="00EA7EFB" w:rsidP="00B30B5B">
      <w:pPr>
        <w:pStyle w:val="StandardWeb"/>
        <w:spacing w:before="6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</w:pPr>
      <w:r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  <w:t>Maj</w:t>
      </w:r>
      <w:r w:rsidR="00C04A15"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  <w:t>/</w:t>
      </w:r>
      <w:r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  <w:t>Svibanj</w:t>
      </w:r>
    </w:p>
    <w:p w:rsidR="0093447F" w:rsidRPr="00B84C7D" w:rsidRDefault="00B84C7D" w:rsidP="00B30B5B">
      <w:pPr>
        <w:pStyle w:val="StandardWeb"/>
        <w:spacing w:before="67" w:beforeAutospacing="0" w:after="0" w:afterAutospacing="0"/>
        <w:jc w:val="center"/>
        <w:rPr>
          <w:rFonts w:asciiTheme="majorHAnsi" w:hAnsiTheme="majorHAnsi" w:cs="Arial"/>
          <w:color w:val="0F243E" w:themeColor="text2" w:themeShade="80"/>
          <w:sz w:val="40"/>
          <w:szCs w:val="40"/>
        </w:rPr>
      </w:pPr>
      <w:r w:rsidRPr="00B84C7D">
        <w:rPr>
          <w:rFonts w:asciiTheme="majorHAnsi" w:hAnsiTheme="majorHAnsi" w:cs="Arial"/>
          <w:color w:val="0F243E" w:themeColor="text2" w:themeShade="80"/>
          <w:sz w:val="40"/>
          <w:szCs w:val="40"/>
        </w:rPr>
        <w:t>202</w:t>
      </w:r>
      <w:r w:rsidR="00CF2A9E">
        <w:rPr>
          <w:rFonts w:asciiTheme="majorHAnsi" w:hAnsiTheme="majorHAnsi" w:cs="Arial"/>
          <w:color w:val="0F243E" w:themeColor="text2" w:themeShade="80"/>
          <w:sz w:val="40"/>
          <w:szCs w:val="40"/>
        </w:rPr>
        <w:t>5</w:t>
      </w:r>
      <w:r w:rsidR="0071668B">
        <w:rPr>
          <w:rFonts w:asciiTheme="majorHAnsi" w:hAnsiTheme="majorHAnsi" w:cs="Arial"/>
          <w:color w:val="0F243E" w:themeColor="text2" w:themeShade="80"/>
          <w:sz w:val="40"/>
          <w:szCs w:val="40"/>
        </w:rPr>
        <w:t>. godine</w:t>
      </w:r>
    </w:p>
    <w:p w:rsidR="00E62A76" w:rsidRDefault="00E62A76" w:rsidP="00492BE8">
      <w:pPr>
        <w:rPr>
          <w:rFonts w:ascii="Arial" w:hAnsi="Arial" w:cs="Arial"/>
          <w:i/>
          <w:sz w:val="24"/>
          <w:lang w:val="hr-HR"/>
        </w:rPr>
      </w:pPr>
    </w:p>
    <w:p w:rsidR="00CC3DF2" w:rsidRDefault="00CC3DF2" w:rsidP="00B84C7D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C3DF2" w:rsidRDefault="00B84C7D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  <w:r>
        <w:rPr>
          <w:rFonts w:asciiTheme="majorHAnsi" w:eastAsiaTheme="majorEastAsia" w:hAnsiTheme="majorHAnsi" w:cstheme="majorBidi"/>
          <w:b/>
          <w:bCs/>
          <w:noProof/>
          <w:sz w:val="26"/>
          <w:szCs w:val="26"/>
          <w:lang w:eastAsia="hr-BA"/>
        </w:rPr>
        <w:lastRenderedPageBreak/>
        <w:drawing>
          <wp:inline distT="0" distB="0" distL="0" distR="0" wp14:anchorId="7C946A8B" wp14:editId="64C862E9">
            <wp:extent cx="5857875" cy="4762500"/>
            <wp:effectExtent l="0" t="0" r="9525" b="0"/>
            <wp:docPr id="11" name="Picture 11" descr="C:\Users\Vahida\AppData\Local\Microsoft\Windows\Temporary Internet Files\Content.Outlook\X777P6X5\fotografija za bilten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Vahida\AppData\Local\Microsoft\Windows\Temporary Internet Files\Content.Outlook\X777P6X5\fotografija za bilten 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3893" cy="47755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3DF2" w:rsidRDefault="00CC3DF2" w:rsidP="001C01AB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C3DF2" w:rsidRDefault="00CC3DF2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20BF8" w:rsidRDefault="00B20BF8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20BF8" w:rsidRDefault="00B20BF8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84C7D" w:rsidRDefault="00B84C7D" w:rsidP="00B84C7D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27FAC" w:rsidRDefault="00C27FAC" w:rsidP="00C27FAC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</w:p>
    <w:p w:rsidR="00C27FAC" w:rsidRDefault="00C27FAC" w:rsidP="00C27FAC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  <w:r>
        <w:rPr>
          <w:rFonts w:asciiTheme="majorHAnsi" w:eastAsiaTheme="majorEastAsia" w:hAnsiTheme="majorHAnsi" w:cstheme="majorBidi"/>
          <w:b/>
          <w:bCs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0768907" wp14:editId="0E73BAAC">
                <wp:simplePos x="0" y="0"/>
                <wp:positionH relativeFrom="column">
                  <wp:posOffset>-4446</wp:posOffset>
                </wp:positionH>
                <wp:positionV relativeFrom="paragraph">
                  <wp:posOffset>5080</wp:posOffset>
                </wp:positionV>
                <wp:extent cx="5857875" cy="173355"/>
                <wp:effectExtent l="0" t="0" r="9525" b="0"/>
                <wp:wrapNone/>
                <wp:docPr id="19" name="Pravokutnik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57875" cy="173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B02F22B" id="Pravokutnik 19" o:spid="_x0000_s1026" style="position:absolute;margin-left:-.35pt;margin-top:.4pt;width:461.25pt;height:13.6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" fillcolor="#4f81bd [3204]" stroked="f" strokeweight="2pt"/>
            </w:pict>
          </mc:Fallback>
        </mc:AlternateContent>
      </w:r>
    </w:p>
    <w:p w:rsidR="00037BCD" w:rsidRDefault="00037BCD" w:rsidP="008166FA">
      <w:pPr>
        <w:pStyle w:val="StandardWeb"/>
        <w:spacing w:before="77" w:beforeAutospacing="0" w:after="0" w:afterAutospacing="0"/>
        <w:ind w:right="-142"/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U skladu sa zakonom</w:t>
      </w:r>
      <w:r w:rsidR="008166FA">
        <w:rPr>
          <w:rFonts w:ascii="Arial" w:hAnsi="Arial" w:cs="Arial"/>
          <w:lang w:val="hr-HR"/>
        </w:rPr>
        <w:t xml:space="preserve"> propisanim nadležnostima u oblasti</w:t>
      </w:r>
      <w:r>
        <w:rPr>
          <w:rFonts w:ascii="Arial" w:hAnsi="Arial" w:cs="Arial"/>
          <w:lang w:val="hr-HR"/>
        </w:rPr>
        <w:t xml:space="preserve"> cijena</w:t>
      </w:r>
      <w:r>
        <w:rPr>
          <w:rFonts w:ascii="Arial" w:hAnsi="Arial" w:cs="Arial"/>
          <w:color w:val="252525"/>
          <w:shd w:val="clear" w:color="auto" w:fill="FFFFFF"/>
          <w:lang w:val="bs-Latn-BA"/>
        </w:rPr>
        <w:t xml:space="preserve">, </w:t>
      </w:r>
      <w:r w:rsidR="00C27FAC">
        <w:rPr>
          <w:rFonts w:ascii="Arial" w:hAnsi="Arial" w:cs="Arial"/>
          <w:lang w:val="hr-HR"/>
        </w:rPr>
        <w:t xml:space="preserve">Federalno ministarstvo trgovine </w:t>
      </w:r>
      <w:r w:rsidR="008166FA">
        <w:rPr>
          <w:rFonts w:ascii="Arial" w:hAnsi="Arial" w:cs="Arial"/>
          <w:lang w:val="hr-HR"/>
        </w:rPr>
        <w:t xml:space="preserve">prati i </w:t>
      </w:r>
      <w:r>
        <w:rPr>
          <w:rFonts w:ascii="Arial" w:hAnsi="Arial" w:cs="Arial"/>
          <w:color w:val="252525"/>
          <w:shd w:val="clear" w:color="auto" w:fill="FFFFFF"/>
          <w:lang w:val="bs-Latn-BA"/>
        </w:rPr>
        <w:t>prikuplja odgovarajuće  podatke o  </w:t>
      </w:r>
      <w:r>
        <w:rPr>
          <w:rFonts w:ascii="Arial" w:hAnsi="Arial" w:cs="Arial"/>
          <w:lang w:val="hr-HR"/>
        </w:rPr>
        <w:t xml:space="preserve">kretanju  maloprodajnih cijena naftnih derivata </w:t>
      </w:r>
      <w:r w:rsidR="008166FA">
        <w:rPr>
          <w:rFonts w:ascii="Arial" w:hAnsi="Arial" w:cs="Arial"/>
          <w:lang w:val="hr-HR"/>
        </w:rPr>
        <w:t xml:space="preserve">na benzinskim pumpama </w:t>
      </w:r>
      <w:r>
        <w:rPr>
          <w:rFonts w:ascii="Arial" w:hAnsi="Arial" w:cs="Arial"/>
          <w:lang w:val="hr-HR"/>
        </w:rPr>
        <w:t xml:space="preserve">u Federaciji BiH i zemljama </w:t>
      </w:r>
      <w:proofErr w:type="spellStart"/>
      <w:r>
        <w:rPr>
          <w:rFonts w:ascii="Arial" w:hAnsi="Arial" w:cs="Arial"/>
          <w:lang w:val="hr-HR"/>
        </w:rPr>
        <w:t>regiona</w:t>
      </w:r>
      <w:proofErr w:type="spellEnd"/>
      <w:r>
        <w:rPr>
          <w:rFonts w:ascii="Arial" w:hAnsi="Arial" w:cs="Arial"/>
          <w:lang w:val="hr-HR"/>
        </w:rPr>
        <w:t>, kao i podatke o kretanju kursa dolara i sirove nafte na svjetskom tržištu.</w:t>
      </w:r>
    </w:p>
    <w:p w:rsidR="002410E2" w:rsidRPr="00B20BF8" w:rsidRDefault="00037BCD" w:rsidP="00B20BF8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“Mjesečni bilten cijena naftnih derivata“ ovog Ministarstva sadrži navedene podatke</w:t>
      </w:r>
      <w:r w:rsidR="008166FA">
        <w:rPr>
          <w:rFonts w:ascii="Arial" w:hAnsi="Arial" w:cs="Arial"/>
          <w:lang w:val="hr-HR"/>
        </w:rPr>
        <w:t xml:space="preserve"> i isti su obrađeni</w:t>
      </w:r>
      <w:r>
        <w:rPr>
          <w:rFonts w:ascii="Arial" w:hAnsi="Arial" w:cs="Arial"/>
          <w:lang w:val="hr-HR"/>
        </w:rPr>
        <w:t xml:space="preserve"> </w:t>
      </w:r>
      <w:r w:rsidR="00826E9B">
        <w:rPr>
          <w:rFonts w:ascii="Arial" w:hAnsi="Arial" w:cs="Arial"/>
          <w:lang w:val="hr-HR"/>
        </w:rPr>
        <w:t xml:space="preserve">i prezentirani </w:t>
      </w:r>
      <w:r>
        <w:rPr>
          <w:rFonts w:ascii="Arial" w:hAnsi="Arial" w:cs="Arial"/>
          <w:lang w:val="hr-HR"/>
        </w:rPr>
        <w:t>u formi tabela, dijagrama i grafikona.</w:t>
      </w:r>
    </w:p>
    <w:p w:rsidR="008D5187" w:rsidRPr="008D0EA0" w:rsidRDefault="00CC3DF2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lastRenderedPageBreak/>
        <w:t xml:space="preserve">Grafički prikaz srednjeg kursa američkog dolara (USD) i </w:t>
      </w:r>
      <w:r w:rsidR="00262D3E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kretanje                 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cijene sirove nafte po barelu/WTI i BRENT</w:t>
      </w:r>
      <w:r w:rsidR="007D182A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u periodu </w:t>
      </w:r>
    </w:p>
    <w:p w:rsidR="00E60C8F" w:rsidRDefault="00E60C8F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7D182A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</w:t>
      </w:r>
      <w:r w:rsidR="007717F1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93440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januara</w:t>
      </w:r>
      <w:r w:rsidR="00FA2D9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5D268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4</w:t>
      </w:r>
      <w:r w:rsidR="007D09C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.</w:t>
      </w:r>
      <w:r w:rsidR="005D268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EA7EFB">
        <w:rPr>
          <w:rFonts w:ascii="Arial" w:eastAsiaTheme="majorEastAsia" w:hAnsi="Arial" w:cs="Arial"/>
          <w:b/>
          <w:bCs/>
          <w:sz w:val="24"/>
          <w:szCs w:val="26"/>
          <w:lang w:val="hr-HR"/>
        </w:rPr>
        <w:t>d</w:t>
      </w:r>
      <w:r w:rsidR="00FA2D9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</w:t>
      </w:r>
      <w:r w:rsidR="00EA7EFB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maja</w:t>
      </w:r>
      <w:r w:rsidR="005F08C6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2025</w:t>
      </w:r>
      <w:r w:rsidR="0024101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. </w:t>
      </w:r>
      <w:r w:rsidR="003A5362">
        <w:rPr>
          <w:rFonts w:ascii="Arial" w:eastAsiaTheme="majorEastAsia" w:hAnsi="Arial" w:cs="Arial"/>
          <w:b/>
          <w:bCs/>
          <w:sz w:val="24"/>
          <w:szCs w:val="26"/>
          <w:lang w:val="hr-HR"/>
        </w:rPr>
        <w:t>g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odine</w:t>
      </w:r>
    </w:p>
    <w:p w:rsidR="00B34B11" w:rsidRDefault="00B34B11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262D3E" w:rsidRDefault="00CF2D1B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>
        <w:rPr>
          <w:rFonts w:ascii="Arial" w:eastAsiaTheme="majorEastAsia" w:hAnsi="Arial" w:cs="Arial"/>
          <w:b/>
          <w:bCs/>
          <w:noProof/>
          <w:sz w:val="24"/>
          <w:szCs w:val="26"/>
          <w:lang w:eastAsia="hr-BA"/>
        </w:rPr>
        <w:drawing>
          <wp:inline distT="0" distB="0" distL="0" distR="0" wp14:anchorId="7A44CCD2">
            <wp:extent cx="5781675" cy="2543175"/>
            <wp:effectExtent l="0" t="0" r="9525" b="9525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4608" cy="2544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62D3E" w:rsidRDefault="00262D3E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Izvor: </w:t>
      </w: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>Centralna banka Bosne i Hercegovine</w:t>
      </w:r>
    </w:p>
    <w:p w:rsidR="00262D3E" w:rsidRDefault="00262D3E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B34B11" w:rsidRDefault="00B34B11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B34B11" w:rsidRDefault="00B34B11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262D3E" w:rsidRDefault="00CF2D1B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>
        <w:rPr>
          <w:rFonts w:ascii="Arial" w:eastAsiaTheme="majorEastAsia" w:hAnsi="Arial" w:cs="Arial"/>
          <w:b/>
          <w:bCs/>
          <w:noProof/>
          <w:sz w:val="24"/>
          <w:szCs w:val="26"/>
          <w:lang w:eastAsia="hr-BA"/>
        </w:rPr>
        <w:drawing>
          <wp:inline distT="0" distB="0" distL="0" distR="0" wp14:anchorId="46F059EE">
            <wp:extent cx="5838825" cy="2533650"/>
            <wp:effectExtent l="0" t="0" r="9525" b="0"/>
            <wp:docPr id="4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1292" cy="2539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E5AD7" w:rsidRPr="00240F56" w:rsidRDefault="003F4588" w:rsidP="000778A0">
      <w:pPr>
        <w:rPr>
          <w:noProof/>
          <w:lang w:eastAsia="hr-BA"/>
        </w:rPr>
      </w:pP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>Izvor: oil-price.net</w:t>
      </w:r>
      <w:r w:rsidR="00B34B11"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 </w:t>
      </w: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                                                                                                        </w:t>
      </w:r>
      <w:r w:rsidR="00405176" w:rsidRPr="00381910">
        <w:rPr>
          <w:rFonts w:ascii="Arial" w:hAnsi="Arial" w:cs="Arial"/>
          <w:sz w:val="20"/>
          <w:szCs w:val="20"/>
          <w:lang w:val="hr-HR"/>
        </w:rPr>
        <w:tab/>
      </w:r>
      <w:r w:rsidR="00CC3DF2" w:rsidRPr="00381910">
        <w:rPr>
          <w:rFonts w:ascii="Arial" w:hAnsi="Arial" w:cs="Arial"/>
          <w:sz w:val="20"/>
          <w:szCs w:val="20"/>
          <w:lang w:val="hr-HR"/>
        </w:rPr>
        <w:tab/>
      </w:r>
      <w:r w:rsidR="00872A5B" w:rsidRPr="00381910">
        <w:rPr>
          <w:rFonts w:ascii="Arial" w:hAnsi="Arial" w:cs="Arial"/>
          <w:sz w:val="20"/>
          <w:szCs w:val="20"/>
          <w:lang w:val="hr-HR"/>
        </w:rPr>
        <w:t xml:space="preserve">      </w:t>
      </w:r>
      <w:r w:rsidR="00031140" w:rsidRPr="00381910">
        <w:rPr>
          <w:rFonts w:ascii="Arial" w:hAnsi="Arial" w:cs="Arial"/>
          <w:sz w:val="20"/>
          <w:szCs w:val="20"/>
          <w:lang w:val="hr-HR"/>
        </w:rPr>
        <w:t xml:space="preserve">                </w:t>
      </w:r>
    </w:p>
    <w:p w:rsidR="009D53D8" w:rsidRPr="002A5505" w:rsidRDefault="009D53D8" w:rsidP="00D933F1">
      <w:pPr>
        <w:tabs>
          <w:tab w:val="left" w:pos="7230"/>
        </w:tabs>
        <w:rPr>
          <w:rFonts w:cs="Arial"/>
          <w:b/>
          <w:sz w:val="28"/>
          <w:szCs w:val="28"/>
          <w:lang w:val="hr-HR"/>
        </w:rPr>
      </w:pPr>
    </w:p>
    <w:p w:rsidR="00D12D75" w:rsidRDefault="00D12D75" w:rsidP="0018042B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34B11" w:rsidRDefault="00B34B11" w:rsidP="00240F56">
      <w:pPr>
        <w:spacing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CF2D1B" w:rsidRDefault="00CF2D1B" w:rsidP="005F08C6">
      <w:pPr>
        <w:spacing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091FD5" w:rsidRPr="008D0EA0" w:rsidRDefault="002B1AAC" w:rsidP="005F08C6">
      <w:pPr>
        <w:spacing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lastRenderedPageBreak/>
        <w:t xml:space="preserve">Prosječne maloprodajne cijene naftnih derivata u Federaciji BiH </w:t>
      </w:r>
      <w:r w:rsidR="002C7734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u</w:t>
      </w:r>
      <w:r w:rsidR="0018042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perio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du od</w:t>
      </w:r>
      <w:r w:rsidR="003F4588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93440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januara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202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4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. godine do</w:t>
      </w:r>
      <w:r w:rsidR="00EB4191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EA7EFB">
        <w:rPr>
          <w:rFonts w:ascii="Arial" w:eastAsiaTheme="majorEastAsia" w:hAnsi="Arial" w:cs="Arial"/>
          <w:b/>
          <w:bCs/>
          <w:sz w:val="24"/>
          <w:szCs w:val="26"/>
          <w:lang w:val="hr-HR"/>
        </w:rPr>
        <w:t>maja</w:t>
      </w:r>
      <w:r w:rsidR="00A521FC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2025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. </w:t>
      </w:r>
      <w:r w:rsidR="00091FD5">
        <w:rPr>
          <w:rFonts w:ascii="Arial" w:eastAsiaTheme="majorEastAsia" w:hAnsi="Arial" w:cs="Arial"/>
          <w:b/>
          <w:bCs/>
          <w:sz w:val="24"/>
          <w:szCs w:val="26"/>
          <w:lang w:val="hr-HR"/>
        </w:rPr>
        <w:t>g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odine</w:t>
      </w:r>
    </w:p>
    <w:p w:rsidR="005F08C6" w:rsidRDefault="00045CCB" w:rsidP="00C732A3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/>
        </w:rPr>
      </w:pPr>
      <w:r>
        <w:rPr>
          <w:rFonts w:ascii="Arial" w:hAnsi="Arial" w:cs="Arial"/>
          <w:sz w:val="24"/>
          <w:szCs w:val="24"/>
          <w:lang w:val="hr-HR"/>
        </w:rPr>
        <w:t xml:space="preserve">  </w:t>
      </w:r>
      <w:r w:rsidR="00091FD5">
        <w:rPr>
          <w:rFonts w:ascii="Arial" w:hAnsi="Arial" w:cs="Arial"/>
          <w:sz w:val="24"/>
          <w:szCs w:val="24"/>
          <w:lang w:val="hr-HR"/>
        </w:rPr>
        <w:t xml:space="preserve">                                                                                                                      </w:t>
      </w:r>
      <w:r>
        <w:rPr>
          <w:rFonts w:ascii="Arial" w:hAnsi="Arial" w:cs="Arial"/>
          <w:sz w:val="24"/>
          <w:szCs w:val="24"/>
          <w:lang w:val="hr-HR"/>
        </w:rPr>
        <w:t xml:space="preserve"> </w:t>
      </w:r>
      <w:r w:rsidR="005F08C6">
        <w:rPr>
          <w:rFonts w:ascii="Arial" w:hAnsi="Arial" w:cs="Arial"/>
          <w:sz w:val="24"/>
          <w:szCs w:val="24"/>
          <w:lang w:val="hr-HR"/>
        </w:rPr>
        <w:t xml:space="preserve">  </w:t>
      </w:r>
      <w:r w:rsidR="00091FD5" w:rsidRPr="00091FD5">
        <w:rPr>
          <w:rFonts w:ascii="Arial" w:hAnsi="Arial" w:cs="Arial"/>
          <w:sz w:val="24"/>
          <w:szCs w:val="24"/>
          <w:lang w:val="hr-HR"/>
        </w:rPr>
        <w:t xml:space="preserve">KM/litru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F08C6" w:rsidRDefault="004C1FFF" w:rsidP="00C732A3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/>
        </w:rPr>
      </w:pPr>
      <w:r>
        <w:rPr>
          <w:noProof/>
          <w:lang w:eastAsia="hr-BA"/>
        </w:rPr>
        <w:drawing>
          <wp:inline distT="0" distB="0" distL="0" distR="0" wp14:anchorId="73E9EE5F" wp14:editId="4B0CD597">
            <wp:extent cx="5761355" cy="2377440"/>
            <wp:effectExtent l="0" t="0" r="10795" b="3810"/>
            <wp:docPr id="1" name="Grafikon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B72011" w:rsidRPr="00E83D5B" w:rsidRDefault="002410E2" w:rsidP="00C732A3">
      <w:pPr>
        <w:spacing w:after="0" w:line="240" w:lineRule="auto"/>
        <w:jc w:val="both"/>
        <w:rPr>
          <w:rFonts w:cs="Arial"/>
          <w:sz w:val="24"/>
          <w:szCs w:val="24"/>
          <w:lang w:val="hr-HR"/>
        </w:rPr>
      </w:pPr>
      <w:r w:rsidRPr="00E95820">
        <w:rPr>
          <w:rFonts w:ascii="Arial" w:hAnsi="Arial" w:cs="Arial"/>
          <w:sz w:val="20"/>
          <w:szCs w:val="20"/>
          <w:lang w:val="hr-HR"/>
        </w:rPr>
        <w:t>Izvor: Federalno ministarstvo trgovine</w:t>
      </w:r>
    </w:p>
    <w:p w:rsidR="00B72011" w:rsidRDefault="00B72011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rPr>
          <w:rFonts w:ascii="Arial" w:hAnsi="Arial" w:cs="Arial"/>
          <w:lang w:val="hr-HR"/>
        </w:rPr>
      </w:pPr>
    </w:p>
    <w:p w:rsidR="003A6385" w:rsidRPr="008D0EA0" w:rsidRDefault="003A6385" w:rsidP="008D0EA0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>Maloprodajne cijene SUPER PLUS bezolovnog benz</w:t>
      </w:r>
      <w:r w:rsidR="009E26A7" w:rsidRPr="008D0EA0">
        <w:rPr>
          <w:rFonts w:ascii="Arial" w:hAnsi="Arial" w:cs="Arial"/>
          <w:sz w:val="24"/>
          <w:lang w:val="hr-HR"/>
        </w:rPr>
        <w:t xml:space="preserve">ina, BAS EN 228 - BMB 98 u </w:t>
      </w:r>
      <w:r w:rsidR="00EA7EFB" w:rsidRPr="00EA7EFB">
        <w:rPr>
          <w:rFonts w:ascii="Arial" w:hAnsi="Arial" w:cs="Arial"/>
          <w:sz w:val="24"/>
          <w:lang w:val="hr-HR"/>
        </w:rPr>
        <w:t xml:space="preserve">maju/svibnju </w:t>
      </w:r>
      <w:r w:rsidR="00D87C49">
        <w:rPr>
          <w:rFonts w:ascii="Arial" w:hAnsi="Arial" w:cs="Arial"/>
          <w:sz w:val="24"/>
          <w:lang w:val="hr-HR"/>
        </w:rPr>
        <w:t>2025</w:t>
      </w:r>
      <w:r w:rsidR="000D08D1" w:rsidRPr="008D0EA0">
        <w:rPr>
          <w:rFonts w:ascii="Arial" w:hAnsi="Arial" w:cs="Arial"/>
          <w:sz w:val="24"/>
          <w:lang w:val="hr-HR"/>
        </w:rPr>
        <w:t xml:space="preserve">. godine </w:t>
      </w:r>
      <w:r w:rsidR="00A67020">
        <w:rPr>
          <w:rFonts w:ascii="Arial" w:hAnsi="Arial" w:cs="Arial"/>
          <w:sz w:val="24"/>
          <w:lang w:val="hr-HR"/>
        </w:rPr>
        <w:t xml:space="preserve">niže su za </w:t>
      </w:r>
      <w:r w:rsidR="008A13CF">
        <w:rPr>
          <w:rFonts w:ascii="Arial" w:hAnsi="Arial" w:cs="Arial"/>
          <w:sz w:val="24"/>
          <w:lang w:val="hr-HR"/>
        </w:rPr>
        <w:t>1,51</w:t>
      </w:r>
      <w:r w:rsidR="009856E8">
        <w:rPr>
          <w:rFonts w:ascii="Arial" w:hAnsi="Arial" w:cs="Arial"/>
          <w:sz w:val="24"/>
          <w:lang w:val="hr-HR"/>
        </w:rPr>
        <w:t xml:space="preserve"> % </w:t>
      </w:r>
      <w:r w:rsidR="00EB274F" w:rsidRPr="008D0EA0">
        <w:rPr>
          <w:rFonts w:ascii="Arial" w:hAnsi="Arial" w:cs="Arial"/>
          <w:sz w:val="24"/>
          <w:lang w:val="hr-HR"/>
        </w:rPr>
        <w:t>u odnosu na prethodni mjesec</w:t>
      </w:r>
      <w:r w:rsidRPr="008D0EA0">
        <w:rPr>
          <w:rFonts w:ascii="Arial" w:hAnsi="Arial" w:cs="Arial"/>
          <w:sz w:val="24"/>
          <w:lang w:val="hr-HR"/>
        </w:rPr>
        <w:t xml:space="preserve">. </w:t>
      </w:r>
    </w:p>
    <w:p w:rsidR="003A6385" w:rsidRDefault="003A6385" w:rsidP="008D0EA0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 xml:space="preserve">U </w:t>
      </w:r>
      <w:r w:rsidR="00EA7EFB" w:rsidRPr="00EA7EFB">
        <w:rPr>
          <w:rFonts w:ascii="Arial" w:hAnsi="Arial" w:cs="Arial"/>
          <w:sz w:val="24"/>
          <w:lang w:val="hr-HR"/>
        </w:rPr>
        <w:t xml:space="preserve">maju/svibnju </w:t>
      </w:r>
      <w:r w:rsidR="00872282"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cijene navedenog derivata </w:t>
      </w:r>
      <w:r w:rsidR="00943DFE">
        <w:rPr>
          <w:rFonts w:ascii="Arial" w:hAnsi="Arial" w:cs="Arial"/>
          <w:sz w:val="24"/>
          <w:lang w:val="hr-HR"/>
        </w:rPr>
        <w:t>niže</w:t>
      </w:r>
      <w:r w:rsidRPr="008D0EA0">
        <w:rPr>
          <w:rFonts w:ascii="Arial" w:hAnsi="Arial" w:cs="Arial"/>
          <w:sz w:val="24"/>
          <w:lang w:val="hr-HR"/>
        </w:rPr>
        <w:t xml:space="preserve"> su za </w:t>
      </w:r>
      <w:r w:rsidR="008A13CF">
        <w:rPr>
          <w:rFonts w:ascii="Arial" w:hAnsi="Arial" w:cs="Arial"/>
          <w:sz w:val="24"/>
          <w:lang w:val="hr-HR"/>
        </w:rPr>
        <w:t>8,77</w:t>
      </w:r>
      <w:r w:rsidRPr="008D0EA0">
        <w:rPr>
          <w:rFonts w:ascii="Arial" w:hAnsi="Arial" w:cs="Arial"/>
          <w:sz w:val="24"/>
          <w:lang w:val="hr-HR"/>
        </w:rPr>
        <w:t xml:space="preserve">% u odnosu na </w:t>
      </w:r>
      <w:r w:rsidR="00EA7EFB">
        <w:rPr>
          <w:rFonts w:ascii="Arial" w:hAnsi="Arial" w:cs="Arial"/>
          <w:sz w:val="24"/>
          <w:lang w:val="hr-HR"/>
        </w:rPr>
        <w:t>maj</w:t>
      </w:r>
      <w:r w:rsidR="00830BFA">
        <w:rPr>
          <w:rFonts w:ascii="Arial" w:hAnsi="Arial" w:cs="Arial"/>
          <w:sz w:val="24"/>
          <w:lang w:val="hr-HR"/>
        </w:rPr>
        <w:t>/</w:t>
      </w:r>
      <w:r w:rsidR="00EA7EFB">
        <w:rPr>
          <w:rFonts w:ascii="Arial" w:hAnsi="Arial" w:cs="Arial"/>
          <w:sz w:val="24"/>
          <w:lang w:val="hr-HR"/>
        </w:rPr>
        <w:t xml:space="preserve">svibanj </w:t>
      </w:r>
      <w:r w:rsidR="00872282"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4</w:t>
      </w:r>
      <w:r w:rsidRPr="008D0EA0">
        <w:rPr>
          <w:rFonts w:ascii="Arial" w:hAnsi="Arial" w:cs="Arial"/>
          <w:sz w:val="24"/>
          <w:lang w:val="hr-HR"/>
        </w:rPr>
        <w:t>. godine.</w:t>
      </w:r>
    </w:p>
    <w:p w:rsidR="00877532" w:rsidRPr="008D0EA0" w:rsidRDefault="00877532" w:rsidP="008D0EA0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E83D5B" w:rsidRPr="00091FD5" w:rsidRDefault="00E83D5B" w:rsidP="00091FD5">
      <w:pPr>
        <w:tabs>
          <w:tab w:val="left" w:pos="142"/>
          <w:tab w:val="left" w:pos="567"/>
          <w:tab w:val="left" w:pos="709"/>
          <w:tab w:val="left" w:pos="7230"/>
          <w:tab w:val="left" w:pos="8080"/>
          <w:tab w:val="left" w:pos="8647"/>
        </w:tabs>
        <w:spacing w:after="0" w:line="240" w:lineRule="auto"/>
        <w:jc w:val="right"/>
        <w:rPr>
          <w:rFonts w:ascii="Arial" w:hAnsi="Arial" w:cs="Arial"/>
          <w:b/>
          <w:sz w:val="24"/>
          <w:szCs w:val="24"/>
          <w:lang w:val="hr-HR"/>
        </w:rPr>
      </w:pPr>
      <w:r w:rsidRPr="00E83D5B">
        <w:rPr>
          <w:rFonts w:ascii="Arial" w:hAnsi="Arial" w:cs="Arial"/>
          <w:sz w:val="24"/>
          <w:szCs w:val="24"/>
          <w:lang w:val="hr-HR"/>
        </w:rPr>
        <w:t xml:space="preserve">KM/litru                                                                                                                                                            </w:t>
      </w:r>
      <w:r w:rsidR="000D08D1" w:rsidRPr="00E83D5B">
        <w:rPr>
          <w:rFonts w:ascii="Arial" w:hAnsi="Arial" w:cs="Arial"/>
          <w:sz w:val="24"/>
          <w:szCs w:val="24"/>
          <w:lang w:val="hr-HR"/>
        </w:rPr>
        <w:t xml:space="preserve">   </w:t>
      </w:r>
      <w:r w:rsidR="00540226" w:rsidRPr="00E83D5B">
        <w:rPr>
          <w:rFonts w:ascii="Arial" w:hAnsi="Arial" w:cs="Arial"/>
          <w:sz w:val="24"/>
          <w:szCs w:val="24"/>
          <w:lang w:val="hr-HR"/>
        </w:rPr>
        <w:t xml:space="preserve">                                                                                                                                                                            </w:t>
      </w:r>
      <w:r w:rsidR="00D877D8" w:rsidRPr="00E83D5B">
        <w:rPr>
          <w:rFonts w:ascii="Arial" w:hAnsi="Arial" w:cs="Arial"/>
          <w:sz w:val="24"/>
          <w:szCs w:val="24"/>
          <w:lang w:val="hr-HR"/>
        </w:rPr>
        <w:t xml:space="preserve">         </w:t>
      </w:r>
      <w:r w:rsidR="004C4E2E" w:rsidRPr="00E83D5B">
        <w:rPr>
          <w:rFonts w:ascii="Arial" w:hAnsi="Arial" w:cs="Arial"/>
          <w:b/>
          <w:sz w:val="24"/>
          <w:szCs w:val="24"/>
          <w:lang w:val="hr-HR"/>
        </w:rPr>
        <w:t xml:space="preserve"> </w:t>
      </w:r>
      <w:r w:rsidR="000778A0" w:rsidRPr="00E83D5B">
        <w:rPr>
          <w:rFonts w:ascii="Arial" w:hAnsi="Arial" w:cs="Arial"/>
          <w:b/>
          <w:sz w:val="24"/>
          <w:szCs w:val="24"/>
          <w:lang w:val="hr-HR"/>
        </w:rPr>
        <w:t xml:space="preserve">                       </w:t>
      </w:r>
    </w:p>
    <w:p w:rsidR="00091FD5" w:rsidRDefault="004C1FFF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hr-HR"/>
        </w:rPr>
      </w:pPr>
      <w:r>
        <w:rPr>
          <w:noProof/>
          <w:lang w:eastAsia="hr-BA"/>
        </w:rPr>
        <w:drawing>
          <wp:inline distT="0" distB="0" distL="0" distR="0" wp14:anchorId="3895D1A8" wp14:editId="6DAF7208">
            <wp:extent cx="5761355" cy="2194560"/>
            <wp:effectExtent l="0" t="0" r="10795" b="15240"/>
            <wp:docPr id="2" name="Grafikon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872282" w:rsidRPr="00F25866" w:rsidRDefault="00F25866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hr-HR"/>
        </w:rPr>
      </w:pPr>
      <w:r w:rsidRPr="00F25866">
        <w:rPr>
          <w:rFonts w:ascii="Arial" w:hAnsi="Arial" w:cs="Arial"/>
          <w:sz w:val="20"/>
          <w:szCs w:val="20"/>
          <w:lang w:val="hr-HR"/>
        </w:rPr>
        <w:t xml:space="preserve">Izvor: Federalno ministarstvo trgovine                                                                                                                                                                              </w:t>
      </w:r>
    </w:p>
    <w:p w:rsidR="00987226" w:rsidRDefault="00987226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3A6385" w:rsidRPr="008D0EA0" w:rsidRDefault="003A6385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 xml:space="preserve">Maloprodajne cijene PREMIUM bezolovnog benzina 95, BAS EN 228- BMB 95 u </w:t>
      </w:r>
      <w:r w:rsidR="00EA7EFB" w:rsidRPr="00EA7EFB">
        <w:rPr>
          <w:rFonts w:ascii="Arial" w:hAnsi="Arial" w:cs="Arial"/>
          <w:sz w:val="24"/>
          <w:lang w:val="hr-HR"/>
        </w:rPr>
        <w:t xml:space="preserve">maju/svibnju </w:t>
      </w:r>
      <w:r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</w:t>
      </w:r>
      <w:r w:rsidR="00A67020">
        <w:rPr>
          <w:rFonts w:ascii="Arial" w:hAnsi="Arial" w:cs="Arial"/>
          <w:sz w:val="24"/>
          <w:lang w:val="hr-HR"/>
        </w:rPr>
        <w:t>niže</w:t>
      </w:r>
      <w:r w:rsidR="003A5362">
        <w:rPr>
          <w:rFonts w:ascii="Arial" w:hAnsi="Arial" w:cs="Arial"/>
          <w:sz w:val="24"/>
          <w:lang w:val="hr-HR"/>
        </w:rPr>
        <w:t xml:space="preserve"> su za </w:t>
      </w:r>
      <w:r w:rsidR="008A13CF">
        <w:rPr>
          <w:rFonts w:ascii="Arial" w:hAnsi="Arial" w:cs="Arial"/>
          <w:sz w:val="24"/>
          <w:lang w:val="hr-HR"/>
        </w:rPr>
        <w:t>2,53</w:t>
      </w:r>
      <w:r w:rsidR="003A5362">
        <w:rPr>
          <w:rFonts w:ascii="Arial" w:hAnsi="Arial" w:cs="Arial"/>
          <w:sz w:val="24"/>
          <w:lang w:val="hr-HR"/>
        </w:rPr>
        <w:t xml:space="preserve">% </w:t>
      </w:r>
      <w:r w:rsidRPr="008D0EA0">
        <w:rPr>
          <w:rFonts w:ascii="Arial" w:hAnsi="Arial" w:cs="Arial"/>
          <w:sz w:val="24"/>
          <w:lang w:val="hr-HR"/>
        </w:rPr>
        <w:t>u odnosu na prethodni mjesec.</w:t>
      </w:r>
    </w:p>
    <w:p w:rsidR="006F7FB7" w:rsidRDefault="003A6385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 xml:space="preserve">U </w:t>
      </w:r>
      <w:r w:rsidR="00EA7EFB" w:rsidRPr="00EA7EFB">
        <w:rPr>
          <w:rFonts w:ascii="Arial" w:hAnsi="Arial" w:cs="Arial"/>
          <w:sz w:val="24"/>
          <w:lang w:val="hr-HR"/>
        </w:rPr>
        <w:t xml:space="preserve">maju/svibnju </w:t>
      </w:r>
      <w:r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cijene navedenog derivata </w:t>
      </w:r>
      <w:r w:rsidR="00943DFE">
        <w:rPr>
          <w:rFonts w:ascii="Arial" w:hAnsi="Arial" w:cs="Arial"/>
          <w:sz w:val="24"/>
          <w:lang w:val="hr-HR"/>
        </w:rPr>
        <w:t>niže</w:t>
      </w:r>
      <w:r w:rsidR="004B29A0">
        <w:rPr>
          <w:rFonts w:ascii="Arial" w:hAnsi="Arial" w:cs="Arial"/>
          <w:sz w:val="24"/>
          <w:lang w:val="hr-HR"/>
        </w:rPr>
        <w:t xml:space="preserve"> su za </w:t>
      </w:r>
      <w:r w:rsidR="008A13CF">
        <w:rPr>
          <w:rFonts w:ascii="Arial" w:hAnsi="Arial" w:cs="Arial"/>
          <w:sz w:val="24"/>
          <w:lang w:val="hr-HR"/>
        </w:rPr>
        <w:t>15,38</w:t>
      </w:r>
      <w:r w:rsidR="004B29A0">
        <w:rPr>
          <w:rFonts w:ascii="Arial" w:hAnsi="Arial" w:cs="Arial"/>
          <w:sz w:val="24"/>
          <w:lang w:val="hr-HR"/>
        </w:rPr>
        <w:t>%</w:t>
      </w:r>
      <w:r w:rsidRPr="008D0EA0">
        <w:rPr>
          <w:rFonts w:ascii="Arial" w:hAnsi="Arial" w:cs="Arial"/>
          <w:sz w:val="24"/>
          <w:lang w:val="hr-HR"/>
        </w:rPr>
        <w:t xml:space="preserve"> u odnosu na </w:t>
      </w:r>
      <w:r w:rsidR="00EA7EFB">
        <w:rPr>
          <w:rFonts w:ascii="Arial" w:hAnsi="Arial" w:cs="Arial"/>
          <w:sz w:val="24"/>
          <w:lang w:val="hr-HR"/>
        </w:rPr>
        <w:t>maj/svibanj</w:t>
      </w:r>
      <w:r w:rsidR="00D305C8">
        <w:rPr>
          <w:rFonts w:ascii="Arial" w:hAnsi="Arial" w:cs="Arial"/>
          <w:sz w:val="24"/>
          <w:lang w:val="hr-HR"/>
        </w:rPr>
        <w:t xml:space="preserve"> </w:t>
      </w:r>
      <w:r w:rsidR="003A5362">
        <w:rPr>
          <w:rFonts w:ascii="Arial" w:hAnsi="Arial" w:cs="Arial"/>
          <w:sz w:val="24"/>
          <w:lang w:val="hr-HR"/>
        </w:rPr>
        <w:t>2024</w:t>
      </w:r>
      <w:r w:rsidRPr="008D0EA0">
        <w:rPr>
          <w:rFonts w:ascii="Arial" w:hAnsi="Arial" w:cs="Arial"/>
          <w:sz w:val="24"/>
          <w:lang w:val="hr-HR"/>
        </w:rPr>
        <w:t xml:space="preserve">. godine. </w:t>
      </w:r>
      <w:r w:rsidR="00DC4455" w:rsidRPr="008D0EA0">
        <w:rPr>
          <w:rFonts w:cs="Arial"/>
          <w:sz w:val="28"/>
          <w:szCs w:val="24"/>
          <w:lang w:val="hr-HR"/>
        </w:rPr>
        <w:t xml:space="preserve"> </w:t>
      </w:r>
    </w:p>
    <w:p w:rsidR="005612D0" w:rsidRDefault="00DC4455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 w:rsidRPr="008D0EA0">
        <w:rPr>
          <w:rFonts w:cs="Arial"/>
          <w:sz w:val="28"/>
          <w:szCs w:val="24"/>
          <w:lang w:val="hr-HR"/>
        </w:rPr>
        <w:t xml:space="preserve">  </w:t>
      </w:r>
      <w:r w:rsidR="00A521FC">
        <w:rPr>
          <w:rFonts w:cs="Arial"/>
          <w:sz w:val="28"/>
          <w:szCs w:val="24"/>
          <w:lang w:val="hr-HR"/>
        </w:rPr>
        <w:t xml:space="preserve">                                                                                                                        </w:t>
      </w:r>
    </w:p>
    <w:p w:rsidR="00396DA9" w:rsidRDefault="00A521FC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rFonts w:cs="Arial"/>
          <w:sz w:val="28"/>
          <w:szCs w:val="24"/>
          <w:lang w:val="hr-HR"/>
        </w:rPr>
        <w:t xml:space="preserve">     </w:t>
      </w:r>
    </w:p>
    <w:p w:rsidR="00830BFA" w:rsidRDefault="00396DA9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rFonts w:cs="Arial"/>
          <w:sz w:val="28"/>
          <w:szCs w:val="24"/>
          <w:lang w:val="hr-HR"/>
        </w:rPr>
        <w:t xml:space="preserve">             </w:t>
      </w:r>
      <w:r w:rsidR="0065790E">
        <w:rPr>
          <w:rFonts w:cs="Arial"/>
          <w:sz w:val="28"/>
          <w:szCs w:val="24"/>
          <w:lang w:val="hr-HR"/>
        </w:rPr>
        <w:t xml:space="preserve">                 </w:t>
      </w:r>
      <w:r w:rsidR="00A67020">
        <w:rPr>
          <w:rFonts w:cs="Arial"/>
          <w:sz w:val="28"/>
          <w:szCs w:val="24"/>
          <w:lang w:val="hr-HR"/>
        </w:rPr>
        <w:t xml:space="preserve">                                                                                                  </w:t>
      </w:r>
    </w:p>
    <w:p w:rsidR="005612D0" w:rsidRDefault="00830BFA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rFonts w:cs="Arial"/>
          <w:sz w:val="28"/>
          <w:szCs w:val="24"/>
          <w:lang w:val="hr-HR"/>
        </w:rPr>
        <w:lastRenderedPageBreak/>
        <w:t xml:space="preserve">                                                                                                                               </w:t>
      </w:r>
      <w:r w:rsidR="00A523D9" w:rsidRPr="00A523D9">
        <w:rPr>
          <w:rFonts w:cs="Arial"/>
          <w:sz w:val="28"/>
          <w:szCs w:val="24"/>
          <w:lang w:val="hr-HR"/>
        </w:rPr>
        <w:t xml:space="preserve">KM/litru          </w:t>
      </w:r>
    </w:p>
    <w:p w:rsidR="005612D0" w:rsidRDefault="004C1FFF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noProof/>
          <w:lang w:eastAsia="hr-BA"/>
        </w:rPr>
        <w:drawing>
          <wp:inline distT="0" distB="0" distL="0" distR="0" wp14:anchorId="21E55780" wp14:editId="07C0EBC0">
            <wp:extent cx="5761355" cy="2209800"/>
            <wp:effectExtent l="0" t="0" r="10795" b="0"/>
            <wp:docPr id="6" name="Grafikon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CD6B3F" w:rsidRPr="00A67020" w:rsidRDefault="00637547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noProof/>
          <w:sz w:val="28"/>
          <w:szCs w:val="24"/>
          <w:lang w:eastAsia="hr-BA"/>
        </w:rPr>
      </w:pPr>
      <w:r w:rsidRPr="00637547">
        <w:rPr>
          <w:rFonts w:ascii="Arial" w:hAnsi="Arial" w:cs="Arial"/>
          <w:sz w:val="20"/>
          <w:szCs w:val="20"/>
          <w:lang w:val="hr-HR"/>
        </w:rPr>
        <w:t xml:space="preserve">Izvor: Federalno ministarstvo trgovine                                                                  </w:t>
      </w:r>
      <w:r w:rsidR="00A521FC" w:rsidRPr="00396DA9">
        <w:rPr>
          <w:rFonts w:ascii="Arial" w:hAnsi="Arial" w:cs="Arial"/>
          <w:sz w:val="20"/>
          <w:szCs w:val="20"/>
          <w:lang w:val="hr-H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</w:t>
      </w:r>
      <w:r w:rsidR="00396DA9" w:rsidRPr="00396DA9">
        <w:rPr>
          <w:rFonts w:ascii="Arial" w:hAnsi="Arial" w:cs="Arial"/>
          <w:sz w:val="20"/>
          <w:szCs w:val="20"/>
          <w:lang w:val="hr-HR"/>
        </w:rPr>
        <w:t xml:space="preserve">                 </w:t>
      </w:r>
    </w:p>
    <w:p w:rsidR="00CD6B3F" w:rsidRDefault="00CD6B3F" w:rsidP="00CD6B3F">
      <w:pPr>
        <w:spacing w:after="0" w:line="240" w:lineRule="auto"/>
        <w:jc w:val="right"/>
        <w:rPr>
          <w:rFonts w:ascii="Arial" w:hAnsi="Arial" w:cs="Arial"/>
          <w:lang w:val="hr-HR"/>
        </w:rPr>
      </w:pPr>
    </w:p>
    <w:p w:rsidR="00CD6B3F" w:rsidRDefault="00CD6B3F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</w:p>
    <w:p w:rsidR="003A6385" w:rsidRPr="008D0EA0" w:rsidRDefault="003A6385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Maloproda</w:t>
      </w:r>
      <w:r w:rsidR="002B01A9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jne cijene DIZEL BAS EN 590 (10 </w:t>
      </w:r>
      <w:proofErr w:type="spellStart"/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ppm</w:t>
      </w:r>
      <w:proofErr w:type="spellEnd"/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) u </w:t>
      </w:r>
      <w:r w:rsidR="00EA7EFB">
        <w:rPr>
          <w:rFonts w:ascii="Arial" w:eastAsiaTheme="majorEastAsia" w:hAnsi="Arial" w:cs="Arial"/>
          <w:bCs/>
          <w:sz w:val="24"/>
          <w:szCs w:val="24"/>
          <w:lang w:val="hr-HR"/>
        </w:rPr>
        <w:t>maju/svibnju</w:t>
      </w:r>
      <w:r w:rsidR="000722BB" w:rsidRPr="000722BB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2025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. godine </w:t>
      </w:r>
      <w:r w:rsidR="00A67020">
        <w:rPr>
          <w:rFonts w:ascii="Arial" w:eastAsiaTheme="majorEastAsia" w:hAnsi="Arial" w:cs="Arial"/>
          <w:bCs/>
          <w:sz w:val="24"/>
          <w:szCs w:val="24"/>
          <w:lang w:val="hr-HR"/>
        </w:rPr>
        <w:t>niže</w:t>
      </w:r>
      <w:r w:rsidR="00E46CFE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su za </w:t>
      </w:r>
      <w:r w:rsidR="008A13CF">
        <w:rPr>
          <w:rFonts w:ascii="Arial" w:eastAsiaTheme="majorEastAsia" w:hAnsi="Arial" w:cs="Arial"/>
          <w:bCs/>
          <w:sz w:val="24"/>
          <w:szCs w:val="24"/>
          <w:lang w:val="hr-HR"/>
        </w:rPr>
        <w:t>3,85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% u odnosu na prethodni mjesec. </w:t>
      </w:r>
    </w:p>
    <w:p w:rsidR="003A6385" w:rsidRPr="008D0EA0" w:rsidRDefault="003A6385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U </w:t>
      </w:r>
      <w:r w:rsidR="00EA7EFB" w:rsidRPr="00EA7EFB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maju/svibnju 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2025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. godin</w:t>
      </w:r>
      <w:r w:rsidR="005D329F"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e cijene navedenog derivata </w:t>
      </w:r>
      <w:r w:rsidR="00943DFE">
        <w:rPr>
          <w:rFonts w:ascii="Arial" w:eastAsiaTheme="majorEastAsia" w:hAnsi="Arial" w:cs="Arial"/>
          <w:bCs/>
          <w:sz w:val="24"/>
          <w:szCs w:val="24"/>
          <w:lang w:val="hr-HR"/>
        </w:rPr>
        <w:t>niže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su za </w:t>
      </w:r>
      <w:r w:rsidR="008A13CF">
        <w:rPr>
          <w:rFonts w:ascii="Arial" w:eastAsiaTheme="majorEastAsia" w:hAnsi="Arial" w:cs="Arial"/>
          <w:bCs/>
          <w:sz w:val="24"/>
          <w:szCs w:val="24"/>
          <w:lang w:val="hr-HR"/>
        </w:rPr>
        <w:t>14</w:t>
      </w:r>
      <w:r w:rsidR="00835705">
        <w:rPr>
          <w:rFonts w:ascii="Arial" w:eastAsiaTheme="majorEastAsia" w:hAnsi="Arial" w:cs="Arial"/>
          <w:bCs/>
          <w:sz w:val="24"/>
          <w:szCs w:val="24"/>
          <w:lang w:val="hr-HR"/>
        </w:rPr>
        <w:t>,</w:t>
      </w:r>
      <w:r w:rsidR="008A13CF">
        <w:rPr>
          <w:rFonts w:ascii="Arial" w:eastAsiaTheme="majorEastAsia" w:hAnsi="Arial" w:cs="Arial"/>
          <w:bCs/>
          <w:sz w:val="24"/>
          <w:szCs w:val="24"/>
          <w:lang w:val="hr-HR"/>
        </w:rPr>
        <w:t>12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% u odnosu na </w:t>
      </w:r>
      <w:r w:rsidR="00EA7EFB">
        <w:rPr>
          <w:rFonts w:ascii="Arial" w:eastAsiaTheme="majorEastAsia" w:hAnsi="Arial" w:cs="Arial"/>
          <w:bCs/>
          <w:sz w:val="24"/>
          <w:szCs w:val="24"/>
          <w:lang w:val="hr-HR"/>
        </w:rPr>
        <w:t>maj</w:t>
      </w:r>
      <w:r w:rsidR="00835705">
        <w:rPr>
          <w:rFonts w:ascii="Arial" w:eastAsiaTheme="majorEastAsia" w:hAnsi="Arial" w:cs="Arial"/>
          <w:bCs/>
          <w:sz w:val="24"/>
          <w:szCs w:val="24"/>
          <w:lang w:val="hr-HR"/>
        </w:rPr>
        <w:t>/</w:t>
      </w:r>
      <w:r w:rsidR="00EA7EFB">
        <w:rPr>
          <w:rFonts w:ascii="Arial" w:eastAsiaTheme="majorEastAsia" w:hAnsi="Arial" w:cs="Arial"/>
          <w:bCs/>
          <w:sz w:val="24"/>
          <w:szCs w:val="24"/>
          <w:lang w:val="hr-HR"/>
        </w:rPr>
        <w:t>svibanj</w:t>
      </w:r>
      <w:r w:rsidR="00E46CFE" w:rsidRPr="00E46CFE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="00DA26B4"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202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4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. godine.</w:t>
      </w:r>
    </w:p>
    <w:p w:rsidR="0072247B" w:rsidRDefault="0072247B" w:rsidP="00DF7647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lang w:val="hr-HR"/>
        </w:rPr>
      </w:pPr>
    </w:p>
    <w:p w:rsidR="00132EEE" w:rsidRDefault="00132EEE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5612D0">
      <w:pPr>
        <w:spacing w:after="0"/>
        <w:jc w:val="center"/>
        <w:rPr>
          <w:rFonts w:ascii="Arial" w:hAnsi="Arial" w:cs="Arial"/>
          <w:b/>
          <w:sz w:val="24"/>
          <w:lang w:val="hr-HR"/>
        </w:rPr>
      </w:pPr>
      <w:r w:rsidRPr="00105593">
        <w:rPr>
          <w:rFonts w:ascii="Arial" w:hAnsi="Arial" w:cs="Arial"/>
          <w:b/>
          <w:sz w:val="24"/>
          <w:lang w:val="hr-HR"/>
        </w:rPr>
        <w:lastRenderedPageBreak/>
        <w:t>Prosječne maloprodajne cijene naftnih derivata u Federaciji BiH</w:t>
      </w:r>
      <w:r>
        <w:rPr>
          <w:rFonts w:ascii="Arial" w:hAnsi="Arial" w:cs="Arial"/>
          <w:b/>
          <w:sz w:val="24"/>
          <w:lang w:val="hr-HR"/>
        </w:rPr>
        <w:t xml:space="preserve"> po kantonima i broj benzinskih pumpi po kantonima </w:t>
      </w:r>
      <w:r w:rsidRPr="00105593">
        <w:rPr>
          <w:rFonts w:ascii="Arial" w:hAnsi="Arial" w:cs="Arial"/>
          <w:b/>
          <w:sz w:val="24"/>
          <w:lang w:val="hr-HR"/>
        </w:rPr>
        <w:t xml:space="preserve">za </w:t>
      </w:r>
      <w:r>
        <w:rPr>
          <w:rFonts w:ascii="Arial" w:hAnsi="Arial" w:cs="Arial"/>
          <w:b/>
          <w:sz w:val="24"/>
          <w:lang w:val="hr-HR"/>
        </w:rPr>
        <w:t xml:space="preserve">mjesec                                                             </w:t>
      </w:r>
      <w:r w:rsidR="007733A6">
        <w:rPr>
          <w:rFonts w:ascii="Arial" w:hAnsi="Arial" w:cs="Arial"/>
          <w:b/>
          <w:sz w:val="24"/>
          <w:lang w:val="hr-HR"/>
        </w:rPr>
        <w:t>maj/svibanj</w:t>
      </w:r>
      <w:r w:rsidRPr="00105593">
        <w:rPr>
          <w:rFonts w:ascii="Arial" w:hAnsi="Arial" w:cs="Arial"/>
          <w:b/>
          <w:sz w:val="24"/>
          <w:lang w:val="hr-HR"/>
        </w:rPr>
        <w:t xml:space="preserve"> 2025. godine </w:t>
      </w:r>
    </w:p>
    <w:p w:rsidR="0005473B" w:rsidRPr="009F0F93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Pr="006A15B6" w:rsidRDefault="006A15B6" w:rsidP="00132EEE">
      <w:pPr>
        <w:spacing w:after="0"/>
        <w:rPr>
          <w:rFonts w:ascii="Arial" w:hAnsi="Arial" w:cs="Arial"/>
          <w:sz w:val="24"/>
          <w:lang w:val="hr-HR"/>
        </w:rPr>
      </w:pPr>
      <w:r w:rsidRPr="006A15B6">
        <w:drawing>
          <wp:inline distT="0" distB="0" distL="0" distR="0">
            <wp:extent cx="5759970" cy="2133600"/>
            <wp:effectExtent l="0" t="0" r="0" b="0"/>
            <wp:docPr id="8" name="Slika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9163" cy="2137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794C" w:rsidRPr="006A15B6" w:rsidRDefault="006A15B6" w:rsidP="00132EEE">
      <w:pPr>
        <w:spacing w:after="0"/>
        <w:rPr>
          <w:rFonts w:ascii="Arial" w:hAnsi="Arial" w:cs="Arial"/>
          <w:sz w:val="24"/>
          <w:lang w:val="hr-HR"/>
        </w:rPr>
      </w:pPr>
      <w:r w:rsidRPr="006A15B6">
        <w:rPr>
          <w:rFonts w:ascii="Arial" w:hAnsi="Arial" w:cs="Arial"/>
          <w:sz w:val="20"/>
          <w:lang w:val="hr-HR"/>
        </w:rPr>
        <w:t xml:space="preserve">Izvor: Federalno ministarstvo trgovine                         </w:t>
      </w:r>
      <w:bookmarkStart w:id="0" w:name="_GoBack"/>
      <w:bookmarkEnd w:id="0"/>
      <w:r w:rsidRPr="006A15B6">
        <w:rPr>
          <w:rFonts w:ascii="Arial" w:hAnsi="Arial" w:cs="Arial"/>
          <w:sz w:val="24"/>
          <w:lang w:val="hr-H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6A15B6" w:rsidRPr="009F0F93" w:rsidRDefault="006A15B6" w:rsidP="00132EEE">
      <w:pPr>
        <w:spacing w:after="0"/>
        <w:rPr>
          <w:rFonts w:ascii="Arial" w:hAnsi="Arial" w:cs="Arial"/>
          <w:sz w:val="24"/>
          <w:lang w:val="hr-HR"/>
        </w:rPr>
      </w:pP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Raspon maloprodajnih cijena naftnih derivata na benzinskim pumpama u Federaciji BiH po kantonima za mjesec </w:t>
      </w:r>
      <w:r w:rsidR="007733A6">
        <w:rPr>
          <w:rFonts w:ascii="Arial" w:hAnsi="Arial" w:cs="Arial"/>
          <w:sz w:val="24"/>
          <w:lang w:val="hr-HR"/>
        </w:rPr>
        <w:t>april/travanj</w:t>
      </w:r>
      <w:r w:rsidR="004F794C" w:rsidRPr="004F794C">
        <w:rPr>
          <w:rFonts w:ascii="Arial" w:hAnsi="Arial" w:cs="Arial"/>
          <w:sz w:val="24"/>
          <w:lang w:val="hr-HR"/>
        </w:rPr>
        <w:t xml:space="preserve"> </w:t>
      </w:r>
      <w:r w:rsidRPr="009F0F93">
        <w:rPr>
          <w:rFonts w:ascii="Arial" w:hAnsi="Arial" w:cs="Arial"/>
          <w:sz w:val="24"/>
          <w:lang w:val="hr-HR"/>
        </w:rPr>
        <w:t>2025. godine je sljedeći:</w:t>
      </w:r>
      <w:r w:rsidR="004F794C">
        <w:rPr>
          <w:rFonts w:ascii="Arial" w:hAnsi="Arial" w:cs="Arial"/>
          <w:sz w:val="24"/>
          <w:lang w:val="hr-HR"/>
        </w:rPr>
        <w:t xml:space="preserve">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Najviša maloprodajna cijena naftnog derivata SUPER PLUS bezolovnog benzina, BAS EN 228 - BMB 98 evidentirana je u </w:t>
      </w:r>
      <w:r w:rsidR="007733A6">
        <w:rPr>
          <w:rFonts w:ascii="Arial" w:hAnsi="Arial" w:cs="Arial"/>
          <w:sz w:val="24"/>
          <w:lang w:val="hr-HR"/>
        </w:rPr>
        <w:t>Bosansko-</w:t>
      </w:r>
      <w:proofErr w:type="spellStart"/>
      <w:r w:rsidR="007733A6">
        <w:rPr>
          <w:rFonts w:ascii="Arial" w:hAnsi="Arial" w:cs="Arial"/>
          <w:sz w:val="24"/>
          <w:lang w:val="hr-HR"/>
        </w:rPr>
        <w:t>podrinjskom</w:t>
      </w:r>
      <w:proofErr w:type="spellEnd"/>
      <w:r w:rsidR="007733A6">
        <w:rPr>
          <w:rFonts w:ascii="Arial" w:hAnsi="Arial" w:cs="Arial"/>
          <w:sz w:val="24"/>
          <w:lang w:val="hr-HR"/>
        </w:rPr>
        <w:t xml:space="preserve"> kantonu i iznosi 2,66</w:t>
      </w:r>
      <w:r w:rsidRPr="009F0F93">
        <w:rPr>
          <w:rFonts w:ascii="Arial" w:hAnsi="Arial" w:cs="Arial"/>
          <w:sz w:val="24"/>
          <w:lang w:val="hr-HR"/>
        </w:rPr>
        <w:t xml:space="preserve"> KM/l, dok je najniža evidentirana maloprodajna cijena navedenog derivata u </w:t>
      </w:r>
      <w:r w:rsidR="007733A6">
        <w:rPr>
          <w:rFonts w:ascii="Arial" w:hAnsi="Arial" w:cs="Arial"/>
          <w:sz w:val="24"/>
          <w:lang w:val="hr-HR"/>
        </w:rPr>
        <w:t xml:space="preserve">Unsko-sanskom </w:t>
      </w:r>
      <w:r w:rsidRPr="009F0F93">
        <w:rPr>
          <w:rFonts w:ascii="Arial" w:hAnsi="Arial" w:cs="Arial"/>
          <w:sz w:val="24"/>
          <w:lang w:val="hr-HR"/>
        </w:rPr>
        <w:t xml:space="preserve">kantonu i iznosi </w:t>
      </w:r>
      <w:r w:rsidR="00923E8B">
        <w:rPr>
          <w:rFonts w:ascii="Arial" w:hAnsi="Arial" w:cs="Arial"/>
          <w:sz w:val="24"/>
          <w:lang w:val="hr-HR"/>
        </w:rPr>
        <w:t>2,</w:t>
      </w:r>
      <w:r w:rsidR="007733A6">
        <w:rPr>
          <w:rFonts w:ascii="Arial" w:hAnsi="Arial" w:cs="Arial"/>
          <w:sz w:val="24"/>
          <w:lang w:val="hr-HR"/>
        </w:rPr>
        <w:t>56</w:t>
      </w:r>
      <w:r w:rsidRPr="009F0F93">
        <w:rPr>
          <w:rFonts w:ascii="Arial" w:hAnsi="Arial" w:cs="Arial"/>
          <w:sz w:val="24"/>
          <w:lang w:val="hr-HR"/>
        </w:rPr>
        <w:t xml:space="preserve"> KM/l. 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Najviša maloprodajna cijena naftnog derivata PREMIUM bezolovnog benzina 95, BAS EN 228- BMB 95 evidentirana je u </w:t>
      </w:r>
      <w:r w:rsidR="007733A6">
        <w:rPr>
          <w:rFonts w:ascii="Arial" w:hAnsi="Arial" w:cs="Arial"/>
          <w:sz w:val="24"/>
          <w:lang w:val="hr-HR"/>
        </w:rPr>
        <w:t>Bosansko-</w:t>
      </w:r>
      <w:proofErr w:type="spellStart"/>
      <w:r w:rsidR="007733A6">
        <w:rPr>
          <w:rFonts w:ascii="Arial" w:hAnsi="Arial" w:cs="Arial"/>
          <w:sz w:val="24"/>
          <w:lang w:val="hr-HR"/>
        </w:rPr>
        <w:t>podrinjskom</w:t>
      </w:r>
      <w:proofErr w:type="spellEnd"/>
      <w:r w:rsidR="007733A6">
        <w:rPr>
          <w:rFonts w:ascii="Arial" w:hAnsi="Arial" w:cs="Arial"/>
          <w:sz w:val="24"/>
          <w:lang w:val="hr-HR"/>
        </w:rPr>
        <w:t xml:space="preserve"> kantonu</w:t>
      </w:r>
      <w:r w:rsidRPr="009F0F93">
        <w:rPr>
          <w:rFonts w:ascii="Arial" w:hAnsi="Arial" w:cs="Arial"/>
          <w:sz w:val="24"/>
          <w:lang w:val="hr-HR"/>
        </w:rPr>
        <w:t xml:space="preserve"> i iznosi </w:t>
      </w:r>
      <w:r w:rsidR="007733A6">
        <w:rPr>
          <w:rFonts w:ascii="Arial" w:hAnsi="Arial" w:cs="Arial"/>
          <w:sz w:val="24"/>
          <w:lang w:val="hr-HR"/>
        </w:rPr>
        <w:t>2,34</w:t>
      </w:r>
      <w:r w:rsidRPr="009F0F93">
        <w:rPr>
          <w:rFonts w:ascii="Arial" w:hAnsi="Arial" w:cs="Arial"/>
          <w:sz w:val="24"/>
          <w:lang w:val="hr-HR"/>
        </w:rPr>
        <w:t xml:space="preserve"> KM/l, dok je najniža evidentirana maloprodajna cijena navedenog derivata u </w:t>
      </w:r>
      <w:r w:rsidR="007733A6">
        <w:rPr>
          <w:rFonts w:ascii="Arial" w:hAnsi="Arial" w:cs="Arial"/>
          <w:sz w:val="24"/>
          <w:lang w:val="hr-HR"/>
        </w:rPr>
        <w:t xml:space="preserve">Kantonu 10 </w:t>
      </w:r>
      <w:r w:rsidR="00F0645C">
        <w:rPr>
          <w:rFonts w:ascii="Arial" w:hAnsi="Arial" w:cs="Arial"/>
          <w:sz w:val="24"/>
          <w:lang w:val="hr-HR"/>
        </w:rPr>
        <w:t>i iznosi 2,30</w:t>
      </w:r>
      <w:r w:rsidRPr="009F0F93">
        <w:rPr>
          <w:rFonts w:ascii="Arial" w:hAnsi="Arial" w:cs="Arial"/>
          <w:sz w:val="24"/>
          <w:lang w:val="hr-HR"/>
        </w:rPr>
        <w:t xml:space="preserve"> KM/l.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Najviša maloprodajna cijena naftnog derivata DIZEL BAS EN 590 (10 </w:t>
      </w:r>
      <w:proofErr w:type="spellStart"/>
      <w:r w:rsidRPr="009F0F93">
        <w:rPr>
          <w:rFonts w:ascii="Arial" w:hAnsi="Arial" w:cs="Arial"/>
          <w:sz w:val="24"/>
          <w:lang w:val="hr-HR"/>
        </w:rPr>
        <w:t>ppm</w:t>
      </w:r>
      <w:proofErr w:type="spellEnd"/>
      <w:r w:rsidRPr="009F0F93">
        <w:rPr>
          <w:rFonts w:ascii="Arial" w:hAnsi="Arial" w:cs="Arial"/>
          <w:sz w:val="24"/>
          <w:lang w:val="hr-HR"/>
        </w:rPr>
        <w:t>) evidentirana je u Posavskom kantonu i iznosi 2,</w:t>
      </w:r>
      <w:r w:rsidR="00F0645C">
        <w:rPr>
          <w:rFonts w:ascii="Arial" w:hAnsi="Arial" w:cs="Arial"/>
          <w:sz w:val="24"/>
          <w:lang w:val="hr-HR"/>
        </w:rPr>
        <w:t>30</w:t>
      </w:r>
      <w:r w:rsidRPr="009F0F93">
        <w:rPr>
          <w:rFonts w:ascii="Arial" w:hAnsi="Arial" w:cs="Arial"/>
          <w:sz w:val="24"/>
          <w:lang w:val="hr-HR"/>
        </w:rPr>
        <w:t xml:space="preserve"> KM/l, dok je najniža evidentirana maloprodajna cijena</w:t>
      </w:r>
      <w:r w:rsidRPr="009F0F93">
        <w:t xml:space="preserve"> </w:t>
      </w:r>
      <w:r w:rsidRPr="009F0F93">
        <w:rPr>
          <w:rFonts w:ascii="Arial" w:hAnsi="Arial" w:cs="Arial"/>
          <w:sz w:val="24"/>
          <w:lang w:val="hr-HR"/>
        </w:rPr>
        <w:t xml:space="preserve">navedenog derivata u </w:t>
      </w:r>
      <w:r w:rsidR="00F0645C">
        <w:rPr>
          <w:rFonts w:ascii="Arial" w:hAnsi="Arial" w:cs="Arial"/>
          <w:sz w:val="24"/>
          <w:lang w:val="hr-HR"/>
        </w:rPr>
        <w:t>Tuzlanskom kantonu</w:t>
      </w:r>
      <w:r w:rsidR="00923E8B">
        <w:rPr>
          <w:rFonts w:ascii="Arial" w:hAnsi="Arial" w:cs="Arial"/>
          <w:sz w:val="24"/>
          <w:lang w:val="hr-HR"/>
        </w:rPr>
        <w:t xml:space="preserve"> </w:t>
      </w:r>
      <w:r w:rsidRPr="009F0F93">
        <w:rPr>
          <w:rFonts w:ascii="Arial" w:hAnsi="Arial" w:cs="Arial"/>
          <w:sz w:val="24"/>
          <w:lang w:val="hr-HR"/>
        </w:rPr>
        <w:t xml:space="preserve">i iznosi </w:t>
      </w:r>
      <w:r w:rsidR="00F0645C">
        <w:rPr>
          <w:rFonts w:ascii="Arial" w:hAnsi="Arial" w:cs="Arial"/>
          <w:sz w:val="24"/>
          <w:lang w:val="hr-HR"/>
        </w:rPr>
        <w:t>2,2</w:t>
      </w:r>
      <w:r w:rsidR="00923E8B">
        <w:rPr>
          <w:rFonts w:ascii="Arial" w:hAnsi="Arial" w:cs="Arial"/>
          <w:sz w:val="24"/>
          <w:lang w:val="hr-HR"/>
        </w:rPr>
        <w:t>4</w:t>
      </w:r>
      <w:r w:rsidRPr="009F0F93">
        <w:rPr>
          <w:rFonts w:ascii="Arial" w:hAnsi="Arial" w:cs="Arial"/>
          <w:sz w:val="24"/>
          <w:lang w:val="hr-HR"/>
        </w:rPr>
        <w:t xml:space="preserve"> KM/l.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Ukupan broj benzinskih pumpi na području Federaciji BiH u </w:t>
      </w:r>
      <w:r w:rsidR="007733A6">
        <w:rPr>
          <w:rFonts w:ascii="Arial" w:hAnsi="Arial" w:cs="Arial"/>
          <w:sz w:val="24"/>
          <w:lang w:val="hr-HR"/>
        </w:rPr>
        <w:t>maju/svibnju</w:t>
      </w:r>
      <w:r w:rsidR="00364CB1">
        <w:rPr>
          <w:rFonts w:ascii="Arial" w:hAnsi="Arial" w:cs="Arial"/>
          <w:sz w:val="24"/>
          <w:lang w:val="hr-HR"/>
        </w:rPr>
        <w:t xml:space="preserve"> </w:t>
      </w:r>
      <w:r w:rsidRPr="009F0F93">
        <w:rPr>
          <w:rFonts w:ascii="Arial" w:hAnsi="Arial" w:cs="Arial"/>
          <w:sz w:val="24"/>
          <w:lang w:val="hr-HR"/>
        </w:rPr>
        <w:t>2025. godine iznosi 7</w:t>
      </w:r>
      <w:r w:rsidR="006A15B6">
        <w:rPr>
          <w:rFonts w:ascii="Arial" w:hAnsi="Arial" w:cs="Arial"/>
          <w:sz w:val="24"/>
          <w:lang w:val="hr-HR"/>
        </w:rPr>
        <w:t>17</w:t>
      </w:r>
      <w:r w:rsidRPr="009F0F93">
        <w:rPr>
          <w:rFonts w:ascii="Arial" w:hAnsi="Arial" w:cs="Arial"/>
          <w:sz w:val="24"/>
          <w:lang w:val="hr-HR"/>
        </w:rPr>
        <w:t xml:space="preserve">.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>Najveći broj benzinskih pumpi (137) u Federaciji BiH nalazi u Tuzlanskom kantonu, dok se n</w:t>
      </w:r>
      <w:r w:rsidR="007733A6">
        <w:rPr>
          <w:rFonts w:ascii="Arial" w:hAnsi="Arial" w:cs="Arial"/>
          <w:sz w:val="24"/>
          <w:lang w:val="hr-HR"/>
        </w:rPr>
        <w:t>ajmanji broj benzinskih pumpi (5</w:t>
      </w:r>
      <w:r w:rsidRPr="009F0F93">
        <w:rPr>
          <w:rFonts w:ascii="Arial" w:hAnsi="Arial" w:cs="Arial"/>
          <w:sz w:val="24"/>
          <w:lang w:val="hr-HR"/>
        </w:rPr>
        <w:t>) nalazi u Bosansko-</w:t>
      </w:r>
      <w:proofErr w:type="spellStart"/>
      <w:r w:rsidRPr="009F0F93">
        <w:rPr>
          <w:rFonts w:ascii="Arial" w:hAnsi="Arial" w:cs="Arial"/>
          <w:sz w:val="24"/>
          <w:lang w:val="hr-HR"/>
        </w:rPr>
        <w:t>podrinjskom</w:t>
      </w:r>
      <w:proofErr w:type="spellEnd"/>
      <w:r w:rsidRPr="009F0F93">
        <w:rPr>
          <w:rFonts w:ascii="Arial" w:hAnsi="Arial" w:cs="Arial"/>
          <w:sz w:val="24"/>
          <w:lang w:val="hr-HR"/>
        </w:rPr>
        <w:t xml:space="preserve"> kantonu.</w:t>
      </w:r>
    </w:p>
    <w:p w:rsidR="0005473B" w:rsidRPr="009F0F93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F80A88" w:rsidRDefault="00F80A88" w:rsidP="00132EEE">
      <w:pPr>
        <w:spacing w:after="0"/>
        <w:rPr>
          <w:rFonts w:ascii="Arial" w:hAnsi="Arial" w:cs="Arial"/>
          <w:sz w:val="24"/>
          <w:lang w:val="hr-HR"/>
        </w:rPr>
      </w:pPr>
    </w:p>
    <w:p w:rsidR="00F80A88" w:rsidRPr="00DC23BC" w:rsidRDefault="00F80A88" w:rsidP="00132EEE">
      <w:pPr>
        <w:spacing w:after="0"/>
        <w:rPr>
          <w:rFonts w:ascii="Arial" w:hAnsi="Arial" w:cs="Arial"/>
          <w:sz w:val="24"/>
          <w:lang w:val="hr-HR"/>
        </w:rPr>
      </w:pPr>
    </w:p>
    <w:p w:rsidR="0005473B" w:rsidRPr="00DC23BC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F151A1" w:rsidRPr="00F151A1" w:rsidRDefault="00F151A1" w:rsidP="00F151A1">
      <w:pPr>
        <w:rPr>
          <w:lang w:val="hr-HR"/>
        </w:rPr>
      </w:pPr>
    </w:p>
    <w:p w:rsidR="006051FA" w:rsidRPr="008D0EA0" w:rsidRDefault="00DA03BD" w:rsidP="001C4EB4">
      <w:pPr>
        <w:pStyle w:val="Naslov2"/>
        <w:spacing w:line="240" w:lineRule="auto"/>
        <w:jc w:val="center"/>
        <w:rPr>
          <w:rFonts w:ascii="Arial" w:hAnsi="Arial" w:cs="Arial"/>
          <w:color w:val="auto"/>
          <w:sz w:val="24"/>
          <w:lang w:val="hr-HR"/>
        </w:rPr>
      </w:pPr>
      <w:r w:rsidRPr="008D0EA0">
        <w:rPr>
          <w:rFonts w:ascii="Arial" w:hAnsi="Arial" w:cs="Arial"/>
          <w:color w:val="auto"/>
          <w:sz w:val="24"/>
          <w:lang w:val="hr-HR"/>
        </w:rPr>
        <w:lastRenderedPageBreak/>
        <w:t>Prosječne m</w:t>
      </w:r>
      <w:r w:rsidR="001918E8" w:rsidRPr="008D0EA0">
        <w:rPr>
          <w:rFonts w:ascii="Arial" w:hAnsi="Arial" w:cs="Arial"/>
          <w:color w:val="auto"/>
          <w:sz w:val="24"/>
          <w:lang w:val="hr-HR"/>
        </w:rPr>
        <w:t xml:space="preserve">aloprodajne cijene naftnih derivata u </w:t>
      </w:r>
      <w:r w:rsidR="00DB708D" w:rsidRPr="008D0EA0">
        <w:rPr>
          <w:rFonts w:ascii="Arial" w:hAnsi="Arial" w:cs="Arial"/>
          <w:color w:val="auto"/>
          <w:sz w:val="24"/>
          <w:lang w:val="hr-HR"/>
        </w:rPr>
        <w:t>Federaciji</w:t>
      </w:r>
      <w:r w:rsidR="00627E30" w:rsidRPr="008D0EA0">
        <w:rPr>
          <w:rFonts w:ascii="Arial" w:hAnsi="Arial" w:cs="Arial"/>
          <w:color w:val="auto"/>
          <w:sz w:val="24"/>
          <w:lang w:val="hr-HR"/>
        </w:rPr>
        <w:t xml:space="preserve"> BiH </w:t>
      </w:r>
      <w:r w:rsidR="00DB708D" w:rsidRPr="008D0EA0">
        <w:rPr>
          <w:rFonts w:ascii="Arial" w:hAnsi="Arial" w:cs="Arial"/>
          <w:color w:val="auto"/>
          <w:sz w:val="24"/>
          <w:lang w:val="hr-HR"/>
        </w:rPr>
        <w:t xml:space="preserve">i                      </w:t>
      </w:r>
      <w:r w:rsidR="00EC24BB" w:rsidRPr="008D0EA0">
        <w:rPr>
          <w:rFonts w:ascii="Arial" w:hAnsi="Arial" w:cs="Arial"/>
          <w:color w:val="auto"/>
          <w:sz w:val="24"/>
          <w:lang w:val="hr-HR"/>
        </w:rPr>
        <w:t xml:space="preserve">              </w:t>
      </w:r>
      <w:r w:rsidRPr="008D0EA0">
        <w:rPr>
          <w:rFonts w:ascii="Arial" w:hAnsi="Arial" w:cs="Arial"/>
          <w:color w:val="auto"/>
          <w:sz w:val="24"/>
          <w:lang w:val="hr-HR"/>
        </w:rPr>
        <w:t xml:space="preserve">zemljama </w:t>
      </w:r>
      <w:proofErr w:type="spellStart"/>
      <w:r w:rsidRPr="008D0EA0">
        <w:rPr>
          <w:rFonts w:ascii="Arial" w:hAnsi="Arial" w:cs="Arial"/>
          <w:color w:val="auto"/>
          <w:sz w:val="24"/>
          <w:lang w:val="hr-HR"/>
        </w:rPr>
        <w:t>regiona</w:t>
      </w:r>
      <w:proofErr w:type="spellEnd"/>
    </w:p>
    <w:p w:rsidR="00BB14A9" w:rsidRDefault="00BB14A9" w:rsidP="001C4EB4">
      <w:pPr>
        <w:spacing w:line="240" w:lineRule="auto"/>
        <w:rPr>
          <w:lang w:val="hr-HR"/>
        </w:rPr>
      </w:pPr>
    </w:p>
    <w:p w:rsidR="001C4EB4" w:rsidRDefault="001C4EB4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</w:p>
    <w:p w:rsidR="001C4EB4" w:rsidRDefault="001C2D94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  <w:r w:rsidRPr="001C2D94">
        <w:rPr>
          <w:rFonts w:ascii="Arial" w:hAnsi="Arial" w:cs="Arial"/>
          <w:sz w:val="24"/>
          <w:szCs w:val="26"/>
          <w:lang w:val="hr-HR"/>
        </w:rPr>
        <w:t>BMB 95</w:t>
      </w:r>
    </w:p>
    <w:p w:rsidR="001C2D94" w:rsidRPr="008D0EA0" w:rsidRDefault="00CF2D1B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  <w:r w:rsidRPr="00CF2D1B">
        <w:rPr>
          <w:noProof/>
          <w:lang w:eastAsia="hr-BA"/>
        </w:rPr>
        <w:drawing>
          <wp:inline distT="0" distB="0" distL="0" distR="0" wp14:anchorId="46C14462" wp14:editId="7F694B39">
            <wp:extent cx="5755005" cy="1821180"/>
            <wp:effectExtent l="0" t="0" r="0" b="7620"/>
            <wp:docPr id="17" name="Slika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8" cy="1823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6609" w:rsidRPr="001C2D94" w:rsidRDefault="00CF4A32" w:rsidP="001C4EB4">
      <w:pPr>
        <w:spacing w:after="0" w:line="240" w:lineRule="auto"/>
        <w:rPr>
          <w:rFonts w:ascii="Arial" w:hAnsi="Arial" w:cs="Arial"/>
          <w:sz w:val="20"/>
          <w:szCs w:val="20"/>
          <w:lang w:val="hr-HR"/>
        </w:rPr>
      </w:pPr>
      <w:r w:rsidRPr="001C2D94">
        <w:rPr>
          <w:rFonts w:ascii="Arial" w:hAnsi="Arial" w:cs="Arial"/>
          <w:sz w:val="20"/>
          <w:szCs w:val="20"/>
          <w:lang w:val="hr-HR"/>
        </w:rPr>
        <w:t>Izvor: GlobalPetrolPrices.com</w:t>
      </w:r>
    </w:p>
    <w:p w:rsidR="009501A2" w:rsidRPr="001C2D94" w:rsidRDefault="009501A2" w:rsidP="001C4EB4">
      <w:pPr>
        <w:spacing w:line="240" w:lineRule="auto"/>
        <w:rPr>
          <w:sz w:val="20"/>
          <w:szCs w:val="20"/>
          <w:lang w:val="hr-HR"/>
        </w:rPr>
      </w:pPr>
    </w:p>
    <w:p w:rsidR="001C2D94" w:rsidRDefault="001C2D94" w:rsidP="001C4EB4">
      <w:pPr>
        <w:pStyle w:val="Naslov2"/>
        <w:spacing w:line="240" w:lineRule="auto"/>
        <w:rPr>
          <w:rFonts w:ascii="Arial" w:hAnsi="Arial" w:cs="Arial"/>
          <w:b w:val="0"/>
          <w:color w:val="auto"/>
          <w:sz w:val="24"/>
          <w:lang w:val="hr-HR"/>
        </w:rPr>
      </w:pPr>
    </w:p>
    <w:p w:rsidR="001C4EB4" w:rsidRDefault="00185968" w:rsidP="001C2D94">
      <w:pPr>
        <w:pStyle w:val="Naslov2"/>
        <w:spacing w:line="240" w:lineRule="auto"/>
        <w:rPr>
          <w:rFonts w:ascii="Arial" w:hAnsi="Arial" w:cs="Arial"/>
          <w:b w:val="0"/>
          <w:color w:val="auto"/>
          <w:sz w:val="24"/>
          <w:lang w:val="hr-HR"/>
        </w:rPr>
      </w:pPr>
      <w:r w:rsidRPr="008D0EA0">
        <w:rPr>
          <w:rFonts w:ascii="Arial" w:hAnsi="Arial" w:cs="Arial"/>
          <w:b w:val="0"/>
          <w:color w:val="auto"/>
          <w:sz w:val="24"/>
          <w:lang w:val="hr-HR"/>
        </w:rPr>
        <w:t>DIZEL</w:t>
      </w:r>
    </w:p>
    <w:p w:rsidR="008D0EA0" w:rsidRPr="00695E01" w:rsidRDefault="00CF2D1B" w:rsidP="009B1F6C">
      <w:pPr>
        <w:rPr>
          <w:lang w:val="hr-HR"/>
        </w:rPr>
      </w:pPr>
      <w:r w:rsidRPr="00CF2D1B">
        <w:rPr>
          <w:noProof/>
          <w:lang w:eastAsia="hr-BA"/>
        </w:rPr>
        <w:drawing>
          <wp:inline distT="0" distB="0" distL="0" distR="0" wp14:anchorId="2AB7A09E" wp14:editId="61999F4B">
            <wp:extent cx="5760720" cy="1821180"/>
            <wp:effectExtent l="0" t="0" r="0" b="7620"/>
            <wp:docPr id="20" name="Slika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4179" cy="18222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4513B" w:rsidRPr="0004513B">
        <w:rPr>
          <w:rFonts w:ascii="Arial" w:hAnsi="Arial" w:cs="Arial"/>
          <w:sz w:val="20"/>
          <w:lang w:eastAsia="bs-Latn-BA"/>
        </w:rPr>
        <w:t>Izvor: GlobalPetrolPrices.com</w:t>
      </w:r>
    </w:p>
    <w:p w:rsidR="001C4EB4" w:rsidRDefault="001C4EB4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F80A88" w:rsidRDefault="00F80A88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F80A88" w:rsidRDefault="00F80A88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4F4100" w:rsidRDefault="004F4100" w:rsidP="00623486">
      <w:pPr>
        <w:pStyle w:val="Bezproreda"/>
        <w:jc w:val="both"/>
        <w:rPr>
          <w:rFonts w:ascii="Arial" w:hAnsi="Arial" w:cs="Arial"/>
          <w:sz w:val="20"/>
          <w:lang w:val="hr-BA" w:eastAsia="bs-Latn-BA"/>
        </w:rPr>
      </w:pP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lastRenderedPageBreak/>
        <w:t xml:space="preserve">Vlada Federacije BiH oblast cijena naftnih derivata (n/d) 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regulisala je </w:t>
      </w:r>
      <w:r w:rsidRPr="00623486">
        <w:rPr>
          <w:rFonts w:ascii="Arial" w:hAnsi="Arial" w:cs="Arial"/>
          <w:sz w:val="24"/>
          <w:szCs w:val="24"/>
          <w:lang w:eastAsia="bs-Latn-BA"/>
        </w:rPr>
        <w:t>Odlukom o slobodnom formiranju cijena motornih benzina, dizel-goriva i lož ulja („Službene novine Federacije BiH“, broj 52/00), prema kojoj se maloprodajne cijene naftnih derivata formiraju slobodno, s tim da se indirektni porezi: akciza na n/d, naknada za puteve (putarina), te porez na dodatnu vrijednost (17%), obračunavaju u skladu sa odgovarajućim propisima koji regulišu njihovu visinu i način obračuna.</w:t>
      </w:r>
    </w:p>
    <w:p w:rsidR="00591777" w:rsidRDefault="00591777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Zakonom o akcizama u Bi</w:t>
      </w:r>
      <w:r w:rsidR="004A569E" w:rsidRPr="00623486">
        <w:rPr>
          <w:rFonts w:ascii="Arial" w:hAnsi="Arial" w:cs="Arial"/>
          <w:sz w:val="24"/>
          <w:szCs w:val="24"/>
          <w:lang w:eastAsia="bs-Latn-BA"/>
        </w:rPr>
        <w:t xml:space="preserve">H ("Službeni glasnik BiH", br. </w:t>
      </w:r>
      <w:r w:rsidRPr="00623486">
        <w:rPr>
          <w:rFonts w:ascii="Arial" w:hAnsi="Arial" w:cs="Arial"/>
          <w:sz w:val="24"/>
          <w:szCs w:val="24"/>
          <w:lang w:eastAsia="bs-Latn-BA"/>
        </w:rPr>
        <w:t>49/09</w:t>
      </w:r>
      <w:r w:rsidR="00364CB1">
        <w:rPr>
          <w:rFonts w:ascii="Arial" w:hAnsi="Arial" w:cs="Arial"/>
          <w:sz w:val="24"/>
          <w:szCs w:val="24"/>
          <w:lang w:eastAsia="bs-Latn-BA"/>
        </w:rPr>
        <w:t>, 49/14, 60/14</w:t>
      </w:r>
      <w:r w:rsidR="00983085" w:rsidRPr="00623486">
        <w:rPr>
          <w:rFonts w:ascii="Arial" w:hAnsi="Arial" w:cs="Arial"/>
          <w:sz w:val="24"/>
          <w:szCs w:val="24"/>
          <w:lang w:eastAsia="bs-Latn-BA"/>
        </w:rPr>
        <w:t>,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 91/17</w:t>
      </w:r>
      <w:r w:rsidR="00983085" w:rsidRPr="00623486">
        <w:rPr>
          <w:rFonts w:ascii="Arial" w:hAnsi="Arial" w:cs="Arial"/>
          <w:sz w:val="24"/>
          <w:szCs w:val="24"/>
          <w:lang w:eastAsia="bs-Latn-BA"/>
        </w:rPr>
        <w:t xml:space="preserve"> i 50/22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), akciza </w:t>
      </w:r>
      <w:r w:rsidRPr="00623486">
        <w:rPr>
          <w:rFonts w:ascii="Arial" w:hAnsi="Arial" w:cs="Arial"/>
          <w:sz w:val="24"/>
          <w:szCs w:val="24"/>
          <w:lang w:eastAsia="bs-Latn-BA"/>
        </w:rPr>
        <w:t>na naftne derivate plaća se po litru derivata na količinu utvrđenu pri temperaturi +15</w:t>
      </w:r>
      <w:r w:rsidRPr="00623486">
        <w:rPr>
          <w:rFonts w:ascii="Arial" w:hAnsi="Arial" w:cs="Arial"/>
          <w:sz w:val="24"/>
          <w:szCs w:val="24"/>
          <w:lang w:eastAsia="bs-Latn-BA"/>
        </w:rPr>
        <w:sym w:font="Symbol" w:char="F0B0"/>
      </w:r>
      <w:r w:rsidRPr="00623486">
        <w:rPr>
          <w:rFonts w:ascii="Arial" w:hAnsi="Arial" w:cs="Arial"/>
          <w:sz w:val="24"/>
          <w:szCs w:val="24"/>
          <w:lang w:eastAsia="bs-Latn-BA"/>
        </w:rPr>
        <w:t>C, i to za:</w:t>
      </w:r>
    </w:p>
    <w:p w:rsidR="00987226" w:rsidRDefault="00987226" w:rsidP="00623486">
      <w:pPr>
        <w:pStyle w:val="Bezproreda"/>
        <w:rPr>
          <w:rFonts w:ascii="Arial" w:hAnsi="Arial" w:cs="Arial"/>
          <w:sz w:val="24"/>
          <w:szCs w:val="24"/>
        </w:rPr>
      </w:pPr>
    </w:p>
    <w:p w:rsidR="004A5A3B" w:rsidRPr="00623486" w:rsidRDefault="004A5A3B" w:rsidP="00623486">
      <w:pPr>
        <w:pStyle w:val="Bezproreda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</w:rPr>
        <w:t>a) bezolovni motorni benzin 0,35 KM;</w:t>
      </w:r>
    </w:p>
    <w:p w:rsidR="004A5A3B" w:rsidRPr="00623486" w:rsidRDefault="004A5A3B" w:rsidP="00623486">
      <w:pPr>
        <w:pStyle w:val="Bezproreda"/>
        <w:ind w:right="-188"/>
        <w:rPr>
          <w:rFonts w:ascii="Arial" w:hAnsi="Arial" w:cs="Arial"/>
          <w:sz w:val="24"/>
          <w:szCs w:val="24"/>
        </w:rPr>
      </w:pPr>
      <w:r w:rsidRPr="00623486">
        <w:rPr>
          <w:rFonts w:ascii="Arial" w:hAnsi="Arial" w:cs="Arial"/>
          <w:sz w:val="24"/>
          <w:szCs w:val="24"/>
        </w:rPr>
        <w:t>b) dizel-gorivo i ostala gasna  ulja 0,30 KM;</w:t>
      </w:r>
      <w:r w:rsidRPr="00623486">
        <w:rPr>
          <w:rFonts w:ascii="Arial" w:hAnsi="Arial" w:cs="Arial"/>
          <w:sz w:val="24"/>
          <w:szCs w:val="24"/>
        </w:rPr>
        <w:br/>
        <w:t>c) petrolej (kerozin) 0,30 KM;</w:t>
      </w:r>
      <w:r w:rsidRPr="00623486">
        <w:rPr>
          <w:rFonts w:ascii="Arial" w:hAnsi="Arial" w:cs="Arial"/>
          <w:sz w:val="24"/>
          <w:szCs w:val="24"/>
        </w:rPr>
        <w:br/>
        <w:t>d) lož-ulje ekstra lako i lako specijalno (EL i LS) 0,45 KM;</w:t>
      </w:r>
      <w:r w:rsidRPr="00623486">
        <w:rPr>
          <w:rFonts w:ascii="Arial" w:hAnsi="Arial" w:cs="Arial"/>
          <w:sz w:val="24"/>
          <w:szCs w:val="24"/>
        </w:rPr>
        <w:br/>
        <w:t>e) biogoriva i biotečnosti 0,30 KM.</w:t>
      </w:r>
    </w:p>
    <w:p w:rsidR="004A5A3B" w:rsidRPr="00623486" w:rsidRDefault="004A5A3B" w:rsidP="00623486">
      <w:pPr>
        <w:pStyle w:val="Bezproreda"/>
        <w:ind w:right="379"/>
        <w:jc w:val="both"/>
        <w:rPr>
          <w:rFonts w:ascii="Arial" w:hAnsi="Arial" w:cs="Arial"/>
          <w:sz w:val="24"/>
          <w:szCs w:val="24"/>
        </w:rPr>
      </w:pP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Putarina kao 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 xml:space="preserve">vrsta indirektnog poreza plaća se u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ukupnom iznosu od 0,40 KM/litru , od čega je: </w:t>
      </w: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a) 0,15 KM po li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>tru derivata, odnosno kilogramu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tečnog naftnog gasa za puteve, i</w:t>
      </w:r>
    </w:p>
    <w:p w:rsidR="00155D20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b) 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>0,25 KM po litru derivata</w:t>
      </w:r>
      <w:r w:rsidR="007B3FB4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>(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od čega se 0,20 KM </w:t>
      </w:r>
      <w:r w:rsidR="007B3FB4" w:rsidRPr="00623486">
        <w:rPr>
          <w:rFonts w:ascii="Arial" w:hAnsi="Arial" w:cs="Arial"/>
          <w:sz w:val="24"/>
          <w:szCs w:val="24"/>
          <w:lang w:eastAsia="bs-Latn-BA"/>
        </w:rPr>
        <w:t>izdvaja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 xml:space="preserve"> za izgradnju autoputeva</w:t>
      </w:r>
      <w:r w:rsidR="00267435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i </w:t>
      </w:r>
    </w:p>
    <w:p w:rsidR="004A5A3B" w:rsidRPr="00623486" w:rsidRDefault="004A569E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   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0,05 KM za izgradnju i rekonstrukciju drugih puteva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>)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.</w:t>
      </w:r>
    </w:p>
    <w:p w:rsidR="006A3E28" w:rsidRPr="00623486" w:rsidRDefault="004A5A3B" w:rsidP="00623486">
      <w:pPr>
        <w:shd w:val="clear" w:color="auto" w:fill="FFFFFF"/>
        <w:spacing w:after="100" w:afterAutospacing="1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623486">
        <w:rPr>
          <w:rFonts w:ascii="Arial" w:hAnsi="Arial" w:cs="Arial"/>
          <w:sz w:val="24"/>
          <w:szCs w:val="24"/>
          <w:shd w:val="clear" w:color="auto" w:fill="FFFFFF"/>
        </w:rPr>
        <w:t>Putarina se ne plaća za petrolej (</w:t>
      </w:r>
      <w:proofErr w:type="spellStart"/>
      <w:r w:rsidRPr="00623486">
        <w:rPr>
          <w:rFonts w:ascii="Arial" w:hAnsi="Arial" w:cs="Arial"/>
          <w:sz w:val="24"/>
          <w:szCs w:val="24"/>
          <w:shd w:val="clear" w:color="auto" w:fill="FFFFFF"/>
        </w:rPr>
        <w:t>kerozin</w:t>
      </w:r>
      <w:proofErr w:type="spellEnd"/>
      <w:r w:rsidRPr="00623486">
        <w:rPr>
          <w:rFonts w:ascii="Arial" w:hAnsi="Arial" w:cs="Arial"/>
          <w:sz w:val="24"/>
          <w:szCs w:val="24"/>
          <w:shd w:val="clear" w:color="auto" w:fill="FFFFFF"/>
        </w:rPr>
        <w:t>) i lož-ulje ekstra lako i lako specijalno (EL i LS).</w:t>
      </w:r>
    </w:p>
    <w:p w:rsidR="00D7096D" w:rsidRPr="00623486" w:rsidRDefault="00D7096D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F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ederalni ministar trgovine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je krajem marta 2019. godine donio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Uputstvo o načinu, sadržaju i rokovima dostave obavještenja o promjeni cijena i marži pojedinih proizvoda i usluga („Službene novine Federacije BiH“, broj 20/19), kojim je propisan način, sadržaj i rokovi u kojima benzinske pumpe, radi evidentiranja i praćenja, dostavljaju Federalnom ministarstvu trgovine obavještenja o promjeni cijena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i marži  (OPC i OPM  obrasci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).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</w:p>
    <w:p w:rsidR="00E17320" w:rsidRPr="00623486" w:rsidRDefault="00E17320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</w:p>
    <w:p w:rsidR="004A5A3B" w:rsidRPr="00623486" w:rsidRDefault="00106D9C" w:rsidP="00623486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U cilju pružanja sveobuhvatnih i pravovremenih informacija o maloprodajnim cijenama n/d na benzinskim pumpama u Federaciji BiH,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Federalno mini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starstvo trgovine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je u  junu 2019. godine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instaliralo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besplatnu mobilnu aplikaciju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za građane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pod nazivom „FMT FBiH oil info“</w:t>
      </w:r>
      <w:r w:rsidRPr="00623486">
        <w:rPr>
          <w:rFonts w:ascii="Arial" w:hAnsi="Arial" w:cs="Arial"/>
          <w:sz w:val="24"/>
          <w:szCs w:val="24"/>
          <w:lang w:eastAsia="bs-Latn-BA"/>
        </w:rPr>
        <w:t>.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Preuzimanje ove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aplikacije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>dostupno je putem Google Play servisa za mobilne telefone sa Android operativnim sistemom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, a za Apple, iPHONE i iPAD mobilne uređaje preuzimanje aplikacije dostupno je direktno na App Store servisu, kao i putem linka ili skeniranjem QR koda, koji su namjenski postavljeni na web stranici Federalnog ministarstva trgovine: </w:t>
      </w:r>
      <w:hyperlink r:id="rId17" w:history="1">
        <w:r w:rsidR="004A5A3B" w:rsidRPr="008D0EA0">
          <w:rPr>
            <w:rStyle w:val="Hiperveza"/>
            <w:rFonts w:ascii="Arial" w:hAnsi="Arial" w:cs="Arial"/>
            <w:sz w:val="24"/>
            <w:szCs w:val="24"/>
            <w:u w:val="none"/>
            <w:lang w:val="hr-HR" w:eastAsia="hr-HR"/>
          </w:rPr>
          <w:t>www.fmt.gov.ba</w:t>
        </w:r>
      </w:hyperlink>
      <w:r w:rsidR="004A5A3B"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>.</w:t>
      </w:r>
    </w:p>
    <w:p w:rsidR="00C43D99" w:rsidRPr="00623486" w:rsidRDefault="00C43D99" w:rsidP="00623486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</w:p>
    <w:p w:rsidR="00364CB1" w:rsidRPr="004F4100" w:rsidRDefault="00364CB1" w:rsidP="00364CB1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 w:eastAsia="hr-HR"/>
        </w:rPr>
      </w:pPr>
      <w:r w:rsidRPr="004F4100">
        <w:rPr>
          <w:rFonts w:ascii="Arial" w:hAnsi="Arial" w:cs="Arial"/>
          <w:sz w:val="24"/>
          <w:szCs w:val="24"/>
          <w:lang w:val="hr-HR" w:eastAsia="hr-HR"/>
        </w:rPr>
        <w:t xml:space="preserve">Napominjemo da je dana 1.4.2021. godine Vlada Federacije BiH, na prijedlog Federalnog ministarstva trgovine, donijela Odluku o propisivanju mjera neposredne kontrole cijena utvrđivanjem maksimalne visine marži za naftne derivate, kalkulativne cijene („Službene novine Federacije BiH“, broj 26/21), kojom je privrednim društvima koja obavljaju trgovinu na veliko naftnim derivatima propisana maksimalna visina marži u apsolutnom iznosu od 0,06 KM/litru derivata, a privrednim društvima koja obavljaju </w:t>
      </w:r>
      <w:r w:rsidRPr="004F4100">
        <w:rPr>
          <w:rFonts w:ascii="Arial" w:hAnsi="Arial" w:cs="Arial"/>
          <w:sz w:val="24"/>
          <w:szCs w:val="24"/>
          <w:lang w:val="hr-HR" w:eastAsia="hr-HR"/>
        </w:rPr>
        <w:lastRenderedPageBreak/>
        <w:t>djelatnost trgovine na malo naftnim derivatima propisana je maksimalna visina marži u apsolutnom iznosu od  0,25 KM/litru derivata. Ova Odluka je još uvijek na snazi.</w:t>
      </w:r>
    </w:p>
    <w:p w:rsidR="00364CB1" w:rsidRPr="004F4100" w:rsidRDefault="00364CB1" w:rsidP="00364CB1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 w:eastAsia="hr-HR"/>
        </w:rPr>
      </w:pPr>
      <w:r w:rsidRPr="004F4100">
        <w:rPr>
          <w:rFonts w:ascii="Arial" w:hAnsi="Arial" w:cs="Arial"/>
          <w:sz w:val="24"/>
          <w:szCs w:val="24"/>
          <w:lang w:val="hr-HR" w:eastAsia="hr-HR"/>
        </w:rPr>
        <w:t xml:space="preserve"> </w:t>
      </w:r>
      <w:r w:rsidR="00100C7E" w:rsidRPr="004F4100">
        <w:rPr>
          <w:rFonts w:ascii="Arial" w:hAnsi="Arial" w:cs="Arial"/>
          <w:sz w:val="24"/>
          <w:szCs w:val="24"/>
          <w:lang w:val="hr-HR" w:eastAsia="hr-HR"/>
        </w:rPr>
        <w:t xml:space="preserve">  </w:t>
      </w:r>
    </w:p>
    <w:p w:rsidR="000C03AB" w:rsidRPr="004F4100" w:rsidRDefault="000C03AB" w:rsidP="00623486">
      <w:pPr>
        <w:pStyle w:val="Bezproreda"/>
        <w:jc w:val="both"/>
        <w:rPr>
          <w:rFonts w:ascii="Arial" w:hAnsi="Arial" w:cs="Arial"/>
          <w:sz w:val="24"/>
          <w:szCs w:val="24"/>
          <w:lang w:val="hr-HR" w:eastAsia="hr-HR"/>
        </w:rPr>
      </w:pPr>
    </w:p>
    <w:p w:rsidR="006A3E28" w:rsidRPr="004F4100" w:rsidRDefault="006A3E28" w:rsidP="00623486">
      <w:pPr>
        <w:tabs>
          <w:tab w:val="left" w:pos="1515"/>
        </w:tabs>
        <w:spacing w:line="240" w:lineRule="auto"/>
        <w:rPr>
          <w:rFonts w:ascii="Arial" w:hAnsi="Arial" w:cs="Arial"/>
          <w:lang w:val="hr-HR"/>
        </w:rPr>
      </w:pPr>
    </w:p>
    <w:sectPr w:rsidR="006A3E28" w:rsidRPr="004F4100" w:rsidSect="00CD6B3F">
      <w:headerReference w:type="default" r:id="rId18"/>
      <w:footerReference w:type="default" r:id="rId19"/>
      <w:pgSz w:w="11906" w:h="16838"/>
      <w:pgMar w:top="0" w:right="1416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1A68" w:rsidRDefault="00141A68" w:rsidP="00271BC9">
      <w:pPr>
        <w:spacing w:after="0" w:line="240" w:lineRule="auto"/>
      </w:pPr>
      <w:r>
        <w:separator/>
      </w:r>
    </w:p>
  </w:endnote>
  <w:endnote w:type="continuationSeparator" w:id="0">
    <w:p w:rsidR="00141A68" w:rsidRDefault="00141A68" w:rsidP="00271B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59911923"/>
      <w:docPartObj>
        <w:docPartGallery w:val="Page Numbers (Bottom of Page)"/>
        <w:docPartUnique/>
      </w:docPartObj>
    </w:sdtPr>
    <w:sdtEndPr/>
    <w:sdtContent>
      <w:p w:rsidR="006728AB" w:rsidRDefault="006728AB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A15B6" w:rsidRPr="006A15B6">
          <w:rPr>
            <w:noProof/>
            <w:lang w:val="hr-HR"/>
          </w:rPr>
          <w:t>9</w:t>
        </w:r>
        <w:r>
          <w:fldChar w:fldCharType="end"/>
        </w:r>
      </w:p>
    </w:sdtContent>
  </w:sdt>
  <w:p w:rsidR="009B5C9B" w:rsidRDefault="000C5848">
    <w:pPr>
      <w:pStyle w:val="Podnoje"/>
    </w:pPr>
    <w:r>
      <w:rPr>
        <w:noProof/>
        <w:lang w:eastAsia="hr-BA"/>
      </w:rPr>
      <w:drawing>
        <wp:inline distT="0" distB="0" distL="0" distR="0" wp14:anchorId="6D89B656" wp14:editId="5724FE85">
          <wp:extent cx="6210300" cy="295275"/>
          <wp:effectExtent l="0" t="0" r="0" b="9525"/>
          <wp:docPr id="18" name="Slika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3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50366" cy="2971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C5848" w:rsidRPr="000C5848" w:rsidRDefault="000C5848" w:rsidP="000C5848">
    <w:pPr>
      <w:pStyle w:val="Podnoje"/>
      <w:jc w:val="center"/>
      <w:rPr>
        <w:rFonts w:ascii="Arial" w:hAnsi="Arial" w:cs="Arial"/>
      </w:rPr>
    </w:pPr>
    <w:r w:rsidRPr="000C5848">
      <w:rPr>
        <w:rFonts w:ascii="Arial" w:hAnsi="Arial" w:cs="Arial"/>
      </w:rPr>
      <w:t>Federalno ministarstvo trgovine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1A68" w:rsidRDefault="00141A68" w:rsidP="00271BC9">
      <w:pPr>
        <w:spacing w:after="0" w:line="240" w:lineRule="auto"/>
      </w:pPr>
      <w:r>
        <w:separator/>
      </w:r>
    </w:p>
  </w:footnote>
  <w:footnote w:type="continuationSeparator" w:id="0">
    <w:p w:rsidR="00141A68" w:rsidRDefault="00141A68" w:rsidP="00271B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6A66" w:rsidRDefault="00F36A66">
    <w:pPr>
      <w:pStyle w:val="Zaglavlje"/>
    </w:pPr>
    <w:r>
      <w:rPr>
        <w:noProof/>
        <w:lang w:eastAsia="hr-BA"/>
      </w:rPr>
      <w:drawing>
        <wp:inline distT="0" distB="0" distL="0" distR="0" wp14:anchorId="64ED9EB7" wp14:editId="0AEECB0B">
          <wp:extent cx="5781675" cy="875319"/>
          <wp:effectExtent l="0" t="0" r="0" b="1270"/>
          <wp:docPr id="14" name="Slika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81675" cy="8753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149F"/>
    <w:rsid w:val="000031A0"/>
    <w:rsid w:val="00005C18"/>
    <w:rsid w:val="00020CF1"/>
    <w:rsid w:val="000231C2"/>
    <w:rsid w:val="00023802"/>
    <w:rsid w:val="00031140"/>
    <w:rsid w:val="000344F5"/>
    <w:rsid w:val="00037BCD"/>
    <w:rsid w:val="0004513B"/>
    <w:rsid w:val="00045311"/>
    <w:rsid w:val="00045CCB"/>
    <w:rsid w:val="0005473B"/>
    <w:rsid w:val="00062F49"/>
    <w:rsid w:val="000722BB"/>
    <w:rsid w:val="00074985"/>
    <w:rsid w:val="000778A0"/>
    <w:rsid w:val="000800CB"/>
    <w:rsid w:val="000839D2"/>
    <w:rsid w:val="0008457E"/>
    <w:rsid w:val="00091F69"/>
    <w:rsid w:val="00091FD5"/>
    <w:rsid w:val="00095631"/>
    <w:rsid w:val="000A04D4"/>
    <w:rsid w:val="000A29CA"/>
    <w:rsid w:val="000A5F4C"/>
    <w:rsid w:val="000B44A4"/>
    <w:rsid w:val="000B5598"/>
    <w:rsid w:val="000B597C"/>
    <w:rsid w:val="000B7DCC"/>
    <w:rsid w:val="000C03AB"/>
    <w:rsid w:val="000C1FF7"/>
    <w:rsid w:val="000C5054"/>
    <w:rsid w:val="000C5848"/>
    <w:rsid w:val="000D08D1"/>
    <w:rsid w:val="000D2D18"/>
    <w:rsid w:val="000D2DF7"/>
    <w:rsid w:val="000D7361"/>
    <w:rsid w:val="000E0B8A"/>
    <w:rsid w:val="000E287D"/>
    <w:rsid w:val="000E3055"/>
    <w:rsid w:val="000E44D9"/>
    <w:rsid w:val="000E48CD"/>
    <w:rsid w:val="000F1DEB"/>
    <w:rsid w:val="000F27F3"/>
    <w:rsid w:val="000F5BBE"/>
    <w:rsid w:val="00100391"/>
    <w:rsid w:val="00100876"/>
    <w:rsid w:val="00100C7E"/>
    <w:rsid w:val="00102D03"/>
    <w:rsid w:val="00106D9C"/>
    <w:rsid w:val="00114BBB"/>
    <w:rsid w:val="00114C93"/>
    <w:rsid w:val="00120192"/>
    <w:rsid w:val="00121D39"/>
    <w:rsid w:val="00125A31"/>
    <w:rsid w:val="00125F41"/>
    <w:rsid w:val="00126DDA"/>
    <w:rsid w:val="001327EA"/>
    <w:rsid w:val="00132EEE"/>
    <w:rsid w:val="00137315"/>
    <w:rsid w:val="0014007C"/>
    <w:rsid w:val="0014124A"/>
    <w:rsid w:val="00141A68"/>
    <w:rsid w:val="00146E6E"/>
    <w:rsid w:val="00155D20"/>
    <w:rsid w:val="00161911"/>
    <w:rsid w:val="001728D4"/>
    <w:rsid w:val="001730DA"/>
    <w:rsid w:val="00176FF8"/>
    <w:rsid w:val="0018042B"/>
    <w:rsid w:val="00181737"/>
    <w:rsid w:val="001847C3"/>
    <w:rsid w:val="00185968"/>
    <w:rsid w:val="00187A5B"/>
    <w:rsid w:val="00191781"/>
    <w:rsid w:val="001918E8"/>
    <w:rsid w:val="001924BB"/>
    <w:rsid w:val="00192CE9"/>
    <w:rsid w:val="00196781"/>
    <w:rsid w:val="001A1250"/>
    <w:rsid w:val="001C01AB"/>
    <w:rsid w:val="001C0D13"/>
    <w:rsid w:val="001C2B4B"/>
    <w:rsid w:val="001C2D94"/>
    <w:rsid w:val="001C4EB4"/>
    <w:rsid w:val="001C527B"/>
    <w:rsid w:val="001C756C"/>
    <w:rsid w:val="001D2923"/>
    <w:rsid w:val="001D70DA"/>
    <w:rsid w:val="001E3FAD"/>
    <w:rsid w:val="001E4A81"/>
    <w:rsid w:val="001F19FB"/>
    <w:rsid w:val="001F28DA"/>
    <w:rsid w:val="001F493E"/>
    <w:rsid w:val="002042F4"/>
    <w:rsid w:val="002104D0"/>
    <w:rsid w:val="0022228E"/>
    <w:rsid w:val="00224C27"/>
    <w:rsid w:val="0023128C"/>
    <w:rsid w:val="00231433"/>
    <w:rsid w:val="00233C03"/>
    <w:rsid w:val="002360E9"/>
    <w:rsid w:val="00240F56"/>
    <w:rsid w:val="00241019"/>
    <w:rsid w:val="002410E2"/>
    <w:rsid w:val="002429F4"/>
    <w:rsid w:val="0024433F"/>
    <w:rsid w:val="00246F38"/>
    <w:rsid w:val="00256513"/>
    <w:rsid w:val="00262D3E"/>
    <w:rsid w:val="002630A5"/>
    <w:rsid w:val="00267435"/>
    <w:rsid w:val="00271BC9"/>
    <w:rsid w:val="00272EE0"/>
    <w:rsid w:val="002771B1"/>
    <w:rsid w:val="00285F17"/>
    <w:rsid w:val="00291CAD"/>
    <w:rsid w:val="00293B6C"/>
    <w:rsid w:val="002951DA"/>
    <w:rsid w:val="002A0111"/>
    <w:rsid w:val="002A0F59"/>
    <w:rsid w:val="002A1C63"/>
    <w:rsid w:val="002A2285"/>
    <w:rsid w:val="002A3D5A"/>
    <w:rsid w:val="002A4065"/>
    <w:rsid w:val="002A5505"/>
    <w:rsid w:val="002A6B10"/>
    <w:rsid w:val="002A7C5E"/>
    <w:rsid w:val="002A7FC8"/>
    <w:rsid w:val="002B01A9"/>
    <w:rsid w:val="002B1AAC"/>
    <w:rsid w:val="002B22DD"/>
    <w:rsid w:val="002B2679"/>
    <w:rsid w:val="002B5294"/>
    <w:rsid w:val="002C2CA0"/>
    <w:rsid w:val="002C7734"/>
    <w:rsid w:val="002E417E"/>
    <w:rsid w:val="002F3A2D"/>
    <w:rsid w:val="002F6AC9"/>
    <w:rsid w:val="00300632"/>
    <w:rsid w:val="00303B34"/>
    <w:rsid w:val="00306609"/>
    <w:rsid w:val="00310588"/>
    <w:rsid w:val="0031649A"/>
    <w:rsid w:val="00320B90"/>
    <w:rsid w:val="003214D4"/>
    <w:rsid w:val="00321A1A"/>
    <w:rsid w:val="00322D0A"/>
    <w:rsid w:val="00327A50"/>
    <w:rsid w:val="00332A0D"/>
    <w:rsid w:val="00335DB5"/>
    <w:rsid w:val="00336830"/>
    <w:rsid w:val="00337366"/>
    <w:rsid w:val="003402B5"/>
    <w:rsid w:val="00344BF3"/>
    <w:rsid w:val="00352497"/>
    <w:rsid w:val="00356328"/>
    <w:rsid w:val="00362BBA"/>
    <w:rsid w:val="00362F8D"/>
    <w:rsid w:val="00364CB1"/>
    <w:rsid w:val="00365F81"/>
    <w:rsid w:val="00372E99"/>
    <w:rsid w:val="00374B81"/>
    <w:rsid w:val="003816DD"/>
    <w:rsid w:val="003817CB"/>
    <w:rsid w:val="00381910"/>
    <w:rsid w:val="00382F0F"/>
    <w:rsid w:val="00386024"/>
    <w:rsid w:val="0039043E"/>
    <w:rsid w:val="00396DA9"/>
    <w:rsid w:val="003A4AB8"/>
    <w:rsid w:val="003A4AE7"/>
    <w:rsid w:val="003A5362"/>
    <w:rsid w:val="003A5E28"/>
    <w:rsid w:val="003A6385"/>
    <w:rsid w:val="003A7B2D"/>
    <w:rsid w:val="003B4729"/>
    <w:rsid w:val="003D501B"/>
    <w:rsid w:val="003D5604"/>
    <w:rsid w:val="003D5D6A"/>
    <w:rsid w:val="003E5471"/>
    <w:rsid w:val="003E5AD7"/>
    <w:rsid w:val="003F3AAD"/>
    <w:rsid w:val="003F4588"/>
    <w:rsid w:val="00401DDD"/>
    <w:rsid w:val="00405176"/>
    <w:rsid w:val="004054A4"/>
    <w:rsid w:val="0041297E"/>
    <w:rsid w:val="00414473"/>
    <w:rsid w:val="00414E90"/>
    <w:rsid w:val="00415DD7"/>
    <w:rsid w:val="00415E0F"/>
    <w:rsid w:val="004253B2"/>
    <w:rsid w:val="00425E37"/>
    <w:rsid w:val="004272D5"/>
    <w:rsid w:val="00427ED8"/>
    <w:rsid w:val="00432A8F"/>
    <w:rsid w:val="00433B87"/>
    <w:rsid w:val="00437717"/>
    <w:rsid w:val="004417B9"/>
    <w:rsid w:val="00441A1D"/>
    <w:rsid w:val="00443805"/>
    <w:rsid w:val="00446474"/>
    <w:rsid w:val="00450760"/>
    <w:rsid w:val="00450ECA"/>
    <w:rsid w:val="0046214C"/>
    <w:rsid w:val="00462A92"/>
    <w:rsid w:val="00465395"/>
    <w:rsid w:val="0046725D"/>
    <w:rsid w:val="00467DA4"/>
    <w:rsid w:val="00471681"/>
    <w:rsid w:val="00471782"/>
    <w:rsid w:val="00471E89"/>
    <w:rsid w:val="00472033"/>
    <w:rsid w:val="00475007"/>
    <w:rsid w:val="00477F0B"/>
    <w:rsid w:val="00480F09"/>
    <w:rsid w:val="0048168A"/>
    <w:rsid w:val="00487077"/>
    <w:rsid w:val="004906BB"/>
    <w:rsid w:val="00491DB0"/>
    <w:rsid w:val="00492BE8"/>
    <w:rsid w:val="00495872"/>
    <w:rsid w:val="004A1D40"/>
    <w:rsid w:val="004A569E"/>
    <w:rsid w:val="004A5A3B"/>
    <w:rsid w:val="004A7ACA"/>
    <w:rsid w:val="004B268C"/>
    <w:rsid w:val="004B29A0"/>
    <w:rsid w:val="004B62B9"/>
    <w:rsid w:val="004C1FFF"/>
    <w:rsid w:val="004C4E2E"/>
    <w:rsid w:val="004D0EA0"/>
    <w:rsid w:val="004D4FDA"/>
    <w:rsid w:val="004E552F"/>
    <w:rsid w:val="004E5F9F"/>
    <w:rsid w:val="004F4100"/>
    <w:rsid w:val="004F6751"/>
    <w:rsid w:val="004F794C"/>
    <w:rsid w:val="00500554"/>
    <w:rsid w:val="00507759"/>
    <w:rsid w:val="00510ABC"/>
    <w:rsid w:val="00514DE7"/>
    <w:rsid w:val="00517CC6"/>
    <w:rsid w:val="00532FA0"/>
    <w:rsid w:val="00540226"/>
    <w:rsid w:val="0054050B"/>
    <w:rsid w:val="0054062A"/>
    <w:rsid w:val="005445AE"/>
    <w:rsid w:val="00546F66"/>
    <w:rsid w:val="005612D0"/>
    <w:rsid w:val="00563177"/>
    <w:rsid w:val="00567FD3"/>
    <w:rsid w:val="00573332"/>
    <w:rsid w:val="005744DC"/>
    <w:rsid w:val="00574894"/>
    <w:rsid w:val="00582782"/>
    <w:rsid w:val="00585517"/>
    <w:rsid w:val="005904D0"/>
    <w:rsid w:val="00591777"/>
    <w:rsid w:val="00597D46"/>
    <w:rsid w:val="005A011B"/>
    <w:rsid w:val="005A3F6D"/>
    <w:rsid w:val="005B4B44"/>
    <w:rsid w:val="005B71BC"/>
    <w:rsid w:val="005C15E8"/>
    <w:rsid w:val="005C3DDE"/>
    <w:rsid w:val="005D268E"/>
    <w:rsid w:val="005D329F"/>
    <w:rsid w:val="005D425E"/>
    <w:rsid w:val="005D4892"/>
    <w:rsid w:val="005E0486"/>
    <w:rsid w:val="005E4206"/>
    <w:rsid w:val="005F08C6"/>
    <w:rsid w:val="005F44F0"/>
    <w:rsid w:val="005F49EB"/>
    <w:rsid w:val="005F5B7F"/>
    <w:rsid w:val="005F6B94"/>
    <w:rsid w:val="006031D5"/>
    <w:rsid w:val="006051FA"/>
    <w:rsid w:val="0060605A"/>
    <w:rsid w:val="006072C5"/>
    <w:rsid w:val="00611C42"/>
    <w:rsid w:val="006127FB"/>
    <w:rsid w:val="00615FAE"/>
    <w:rsid w:val="00616DCA"/>
    <w:rsid w:val="00622E91"/>
    <w:rsid w:val="00623486"/>
    <w:rsid w:val="00624E09"/>
    <w:rsid w:val="00626A29"/>
    <w:rsid w:val="00627E30"/>
    <w:rsid w:val="0063651D"/>
    <w:rsid w:val="00637547"/>
    <w:rsid w:val="0064091E"/>
    <w:rsid w:val="0064116B"/>
    <w:rsid w:val="006432FF"/>
    <w:rsid w:val="00643F57"/>
    <w:rsid w:val="006546DF"/>
    <w:rsid w:val="006561C1"/>
    <w:rsid w:val="006567F6"/>
    <w:rsid w:val="006576B8"/>
    <w:rsid w:val="0065790E"/>
    <w:rsid w:val="0066060A"/>
    <w:rsid w:val="006668C9"/>
    <w:rsid w:val="00667642"/>
    <w:rsid w:val="0067120A"/>
    <w:rsid w:val="006728AB"/>
    <w:rsid w:val="0067642D"/>
    <w:rsid w:val="00676EBF"/>
    <w:rsid w:val="006857A6"/>
    <w:rsid w:val="006943D5"/>
    <w:rsid w:val="0069579D"/>
    <w:rsid w:val="00695E01"/>
    <w:rsid w:val="00695F70"/>
    <w:rsid w:val="006A15B6"/>
    <w:rsid w:val="006A3B76"/>
    <w:rsid w:val="006A3E28"/>
    <w:rsid w:val="006A5CFE"/>
    <w:rsid w:val="006B33BC"/>
    <w:rsid w:val="006B4C7B"/>
    <w:rsid w:val="006B563A"/>
    <w:rsid w:val="006C1CB3"/>
    <w:rsid w:val="006C35BA"/>
    <w:rsid w:val="006C65F0"/>
    <w:rsid w:val="006D02AA"/>
    <w:rsid w:val="006D4F6C"/>
    <w:rsid w:val="006E1978"/>
    <w:rsid w:val="006E19E8"/>
    <w:rsid w:val="006E44ED"/>
    <w:rsid w:val="006F7611"/>
    <w:rsid w:val="006F7FB7"/>
    <w:rsid w:val="00704BE6"/>
    <w:rsid w:val="00706350"/>
    <w:rsid w:val="007159CA"/>
    <w:rsid w:val="0071668B"/>
    <w:rsid w:val="0072247B"/>
    <w:rsid w:val="00726F73"/>
    <w:rsid w:val="007308B0"/>
    <w:rsid w:val="007338AD"/>
    <w:rsid w:val="00734D70"/>
    <w:rsid w:val="00737986"/>
    <w:rsid w:val="007463A6"/>
    <w:rsid w:val="00750D69"/>
    <w:rsid w:val="007568BD"/>
    <w:rsid w:val="00757DEB"/>
    <w:rsid w:val="0076669F"/>
    <w:rsid w:val="007700F0"/>
    <w:rsid w:val="007708D6"/>
    <w:rsid w:val="007717F1"/>
    <w:rsid w:val="007733A6"/>
    <w:rsid w:val="00774904"/>
    <w:rsid w:val="00776A23"/>
    <w:rsid w:val="007807B3"/>
    <w:rsid w:val="007A05E4"/>
    <w:rsid w:val="007A09EA"/>
    <w:rsid w:val="007A0FB1"/>
    <w:rsid w:val="007A33D6"/>
    <w:rsid w:val="007A3CEF"/>
    <w:rsid w:val="007A5886"/>
    <w:rsid w:val="007A75A1"/>
    <w:rsid w:val="007B138C"/>
    <w:rsid w:val="007B3FB4"/>
    <w:rsid w:val="007B5A21"/>
    <w:rsid w:val="007B7BF7"/>
    <w:rsid w:val="007C0E6C"/>
    <w:rsid w:val="007C62B9"/>
    <w:rsid w:val="007C675C"/>
    <w:rsid w:val="007D09CE"/>
    <w:rsid w:val="007D182A"/>
    <w:rsid w:val="007D641D"/>
    <w:rsid w:val="007D6C97"/>
    <w:rsid w:val="007E0BC7"/>
    <w:rsid w:val="007E331F"/>
    <w:rsid w:val="007E413D"/>
    <w:rsid w:val="007E6E8D"/>
    <w:rsid w:val="007E7DD4"/>
    <w:rsid w:val="007F39AC"/>
    <w:rsid w:val="007F7089"/>
    <w:rsid w:val="0080319E"/>
    <w:rsid w:val="00805036"/>
    <w:rsid w:val="00805248"/>
    <w:rsid w:val="00814398"/>
    <w:rsid w:val="008165C3"/>
    <w:rsid w:val="008166FA"/>
    <w:rsid w:val="00826E9B"/>
    <w:rsid w:val="00830197"/>
    <w:rsid w:val="00830BFA"/>
    <w:rsid w:val="00831F46"/>
    <w:rsid w:val="008339B8"/>
    <w:rsid w:val="00835705"/>
    <w:rsid w:val="0083744B"/>
    <w:rsid w:val="0084473A"/>
    <w:rsid w:val="00844E7D"/>
    <w:rsid w:val="00847451"/>
    <w:rsid w:val="008528E2"/>
    <w:rsid w:val="00854EB9"/>
    <w:rsid w:val="008617B6"/>
    <w:rsid w:val="00872282"/>
    <w:rsid w:val="00872A5B"/>
    <w:rsid w:val="00873465"/>
    <w:rsid w:val="00874E1D"/>
    <w:rsid w:val="0087643B"/>
    <w:rsid w:val="00877532"/>
    <w:rsid w:val="008932CE"/>
    <w:rsid w:val="00894DEF"/>
    <w:rsid w:val="008A05C5"/>
    <w:rsid w:val="008A13CF"/>
    <w:rsid w:val="008A4F5F"/>
    <w:rsid w:val="008B1989"/>
    <w:rsid w:val="008B781F"/>
    <w:rsid w:val="008C041F"/>
    <w:rsid w:val="008C0C21"/>
    <w:rsid w:val="008C5DFF"/>
    <w:rsid w:val="008D0EA0"/>
    <w:rsid w:val="008D2885"/>
    <w:rsid w:val="008D3739"/>
    <w:rsid w:val="008D3796"/>
    <w:rsid w:val="008D5187"/>
    <w:rsid w:val="008D54FF"/>
    <w:rsid w:val="008D57EA"/>
    <w:rsid w:val="008E6386"/>
    <w:rsid w:val="00900153"/>
    <w:rsid w:val="00901154"/>
    <w:rsid w:val="0090550F"/>
    <w:rsid w:val="00910C5F"/>
    <w:rsid w:val="00911AEF"/>
    <w:rsid w:val="00911F4F"/>
    <w:rsid w:val="009130FD"/>
    <w:rsid w:val="009150AF"/>
    <w:rsid w:val="00916925"/>
    <w:rsid w:val="0092035D"/>
    <w:rsid w:val="0092149F"/>
    <w:rsid w:val="00923E8B"/>
    <w:rsid w:val="00934409"/>
    <w:rsid w:val="0093447F"/>
    <w:rsid w:val="00935457"/>
    <w:rsid w:val="00936289"/>
    <w:rsid w:val="009367E5"/>
    <w:rsid w:val="0094359D"/>
    <w:rsid w:val="00943DFE"/>
    <w:rsid w:val="00947513"/>
    <w:rsid w:val="009501A2"/>
    <w:rsid w:val="00951DD2"/>
    <w:rsid w:val="00956AA5"/>
    <w:rsid w:val="009613B3"/>
    <w:rsid w:val="009648FD"/>
    <w:rsid w:val="0096743D"/>
    <w:rsid w:val="009674F7"/>
    <w:rsid w:val="00976C4C"/>
    <w:rsid w:val="00980858"/>
    <w:rsid w:val="00983085"/>
    <w:rsid w:val="009856E8"/>
    <w:rsid w:val="00986FCE"/>
    <w:rsid w:val="00987226"/>
    <w:rsid w:val="0099297A"/>
    <w:rsid w:val="009974C3"/>
    <w:rsid w:val="009A03AF"/>
    <w:rsid w:val="009A1136"/>
    <w:rsid w:val="009A4E45"/>
    <w:rsid w:val="009B02B5"/>
    <w:rsid w:val="009B0AA3"/>
    <w:rsid w:val="009B1F6C"/>
    <w:rsid w:val="009B32B0"/>
    <w:rsid w:val="009B36FA"/>
    <w:rsid w:val="009B4E20"/>
    <w:rsid w:val="009B5C9B"/>
    <w:rsid w:val="009B6F56"/>
    <w:rsid w:val="009C108B"/>
    <w:rsid w:val="009C3FC3"/>
    <w:rsid w:val="009C6203"/>
    <w:rsid w:val="009D3493"/>
    <w:rsid w:val="009D53D8"/>
    <w:rsid w:val="009D6121"/>
    <w:rsid w:val="009E26A7"/>
    <w:rsid w:val="009E7432"/>
    <w:rsid w:val="009F0F93"/>
    <w:rsid w:val="009F26AE"/>
    <w:rsid w:val="009F4D76"/>
    <w:rsid w:val="009F6A28"/>
    <w:rsid w:val="00A03843"/>
    <w:rsid w:val="00A05FEA"/>
    <w:rsid w:val="00A06A2E"/>
    <w:rsid w:val="00A07D96"/>
    <w:rsid w:val="00A12C73"/>
    <w:rsid w:val="00A13B03"/>
    <w:rsid w:val="00A3461B"/>
    <w:rsid w:val="00A34A8C"/>
    <w:rsid w:val="00A369BC"/>
    <w:rsid w:val="00A41106"/>
    <w:rsid w:val="00A4484F"/>
    <w:rsid w:val="00A521FC"/>
    <w:rsid w:val="00A523D9"/>
    <w:rsid w:val="00A57C60"/>
    <w:rsid w:val="00A67020"/>
    <w:rsid w:val="00A70AB6"/>
    <w:rsid w:val="00A71ECD"/>
    <w:rsid w:val="00A75952"/>
    <w:rsid w:val="00A773F7"/>
    <w:rsid w:val="00A85C8B"/>
    <w:rsid w:val="00A87538"/>
    <w:rsid w:val="00A96E61"/>
    <w:rsid w:val="00AA0359"/>
    <w:rsid w:val="00AA2AE6"/>
    <w:rsid w:val="00AB6B4F"/>
    <w:rsid w:val="00AC2A34"/>
    <w:rsid w:val="00AD5699"/>
    <w:rsid w:val="00AE0D34"/>
    <w:rsid w:val="00AE3C2D"/>
    <w:rsid w:val="00AE3D6A"/>
    <w:rsid w:val="00AE3FA1"/>
    <w:rsid w:val="00AE4615"/>
    <w:rsid w:val="00AE4E6B"/>
    <w:rsid w:val="00AE600E"/>
    <w:rsid w:val="00AE6F47"/>
    <w:rsid w:val="00AE7EBD"/>
    <w:rsid w:val="00AF447B"/>
    <w:rsid w:val="00AF452F"/>
    <w:rsid w:val="00B0335D"/>
    <w:rsid w:val="00B0467A"/>
    <w:rsid w:val="00B06E0B"/>
    <w:rsid w:val="00B07A77"/>
    <w:rsid w:val="00B11D9D"/>
    <w:rsid w:val="00B20BF8"/>
    <w:rsid w:val="00B22871"/>
    <w:rsid w:val="00B30B5B"/>
    <w:rsid w:val="00B323C1"/>
    <w:rsid w:val="00B34B11"/>
    <w:rsid w:val="00B359F7"/>
    <w:rsid w:val="00B36A69"/>
    <w:rsid w:val="00B40AB0"/>
    <w:rsid w:val="00B43CA8"/>
    <w:rsid w:val="00B47D3A"/>
    <w:rsid w:val="00B544EB"/>
    <w:rsid w:val="00B550F1"/>
    <w:rsid w:val="00B5598A"/>
    <w:rsid w:val="00B55F9C"/>
    <w:rsid w:val="00B62ABC"/>
    <w:rsid w:val="00B64E9C"/>
    <w:rsid w:val="00B66EF9"/>
    <w:rsid w:val="00B70F67"/>
    <w:rsid w:val="00B71676"/>
    <w:rsid w:val="00B72011"/>
    <w:rsid w:val="00B84C7D"/>
    <w:rsid w:val="00B869C4"/>
    <w:rsid w:val="00B8782E"/>
    <w:rsid w:val="00B94406"/>
    <w:rsid w:val="00B9596C"/>
    <w:rsid w:val="00B97588"/>
    <w:rsid w:val="00B97664"/>
    <w:rsid w:val="00BA7443"/>
    <w:rsid w:val="00BB08D6"/>
    <w:rsid w:val="00BB0A1D"/>
    <w:rsid w:val="00BB14A9"/>
    <w:rsid w:val="00BB2311"/>
    <w:rsid w:val="00BB2CDF"/>
    <w:rsid w:val="00BB372B"/>
    <w:rsid w:val="00BB46F6"/>
    <w:rsid w:val="00BB4DB8"/>
    <w:rsid w:val="00BC1DF9"/>
    <w:rsid w:val="00BD1A6A"/>
    <w:rsid w:val="00BD2CAD"/>
    <w:rsid w:val="00BD6B35"/>
    <w:rsid w:val="00BD7C6D"/>
    <w:rsid w:val="00BE0F34"/>
    <w:rsid w:val="00BE3310"/>
    <w:rsid w:val="00BE3F00"/>
    <w:rsid w:val="00BF3FAD"/>
    <w:rsid w:val="00C001A0"/>
    <w:rsid w:val="00C0032E"/>
    <w:rsid w:val="00C027C5"/>
    <w:rsid w:val="00C04A15"/>
    <w:rsid w:val="00C0755A"/>
    <w:rsid w:val="00C13F5D"/>
    <w:rsid w:val="00C15949"/>
    <w:rsid w:val="00C16D7F"/>
    <w:rsid w:val="00C2701F"/>
    <w:rsid w:val="00C27FAC"/>
    <w:rsid w:val="00C3694A"/>
    <w:rsid w:val="00C37384"/>
    <w:rsid w:val="00C43443"/>
    <w:rsid w:val="00C436CA"/>
    <w:rsid w:val="00C43D99"/>
    <w:rsid w:val="00C44B5F"/>
    <w:rsid w:val="00C54BA5"/>
    <w:rsid w:val="00C63C1D"/>
    <w:rsid w:val="00C64595"/>
    <w:rsid w:val="00C67D1C"/>
    <w:rsid w:val="00C732A3"/>
    <w:rsid w:val="00C7660D"/>
    <w:rsid w:val="00C76BEA"/>
    <w:rsid w:val="00C91964"/>
    <w:rsid w:val="00C931DA"/>
    <w:rsid w:val="00C93CBF"/>
    <w:rsid w:val="00C95351"/>
    <w:rsid w:val="00CB0EA6"/>
    <w:rsid w:val="00CB234F"/>
    <w:rsid w:val="00CB27A6"/>
    <w:rsid w:val="00CB2FC6"/>
    <w:rsid w:val="00CB55D0"/>
    <w:rsid w:val="00CB633D"/>
    <w:rsid w:val="00CC3DF2"/>
    <w:rsid w:val="00CC58FB"/>
    <w:rsid w:val="00CC7AFD"/>
    <w:rsid w:val="00CD17A6"/>
    <w:rsid w:val="00CD6B3F"/>
    <w:rsid w:val="00CD7C67"/>
    <w:rsid w:val="00CE0D5E"/>
    <w:rsid w:val="00CE58EC"/>
    <w:rsid w:val="00CE58FC"/>
    <w:rsid w:val="00CE670D"/>
    <w:rsid w:val="00CF2A9E"/>
    <w:rsid w:val="00CF2D1B"/>
    <w:rsid w:val="00CF4A32"/>
    <w:rsid w:val="00D0019E"/>
    <w:rsid w:val="00D0461A"/>
    <w:rsid w:val="00D063FB"/>
    <w:rsid w:val="00D1062A"/>
    <w:rsid w:val="00D113A7"/>
    <w:rsid w:val="00D1150F"/>
    <w:rsid w:val="00D12D75"/>
    <w:rsid w:val="00D13915"/>
    <w:rsid w:val="00D305C8"/>
    <w:rsid w:val="00D33D6D"/>
    <w:rsid w:val="00D414E9"/>
    <w:rsid w:val="00D515C9"/>
    <w:rsid w:val="00D517B8"/>
    <w:rsid w:val="00D51B76"/>
    <w:rsid w:val="00D6130D"/>
    <w:rsid w:val="00D7096D"/>
    <w:rsid w:val="00D72A71"/>
    <w:rsid w:val="00D76F29"/>
    <w:rsid w:val="00D77D53"/>
    <w:rsid w:val="00D8511B"/>
    <w:rsid w:val="00D877D8"/>
    <w:rsid w:val="00D87C49"/>
    <w:rsid w:val="00D915ED"/>
    <w:rsid w:val="00D933F1"/>
    <w:rsid w:val="00D960A9"/>
    <w:rsid w:val="00DA03BD"/>
    <w:rsid w:val="00DA0F49"/>
    <w:rsid w:val="00DA26B4"/>
    <w:rsid w:val="00DA2B59"/>
    <w:rsid w:val="00DB65A1"/>
    <w:rsid w:val="00DB708D"/>
    <w:rsid w:val="00DC23BC"/>
    <w:rsid w:val="00DC4455"/>
    <w:rsid w:val="00DC788F"/>
    <w:rsid w:val="00DD0143"/>
    <w:rsid w:val="00DD17CC"/>
    <w:rsid w:val="00DD3FDF"/>
    <w:rsid w:val="00DD53C5"/>
    <w:rsid w:val="00DE02D9"/>
    <w:rsid w:val="00DE37A1"/>
    <w:rsid w:val="00DE6B11"/>
    <w:rsid w:val="00DE7672"/>
    <w:rsid w:val="00DF5E9F"/>
    <w:rsid w:val="00DF7647"/>
    <w:rsid w:val="00E04A00"/>
    <w:rsid w:val="00E07234"/>
    <w:rsid w:val="00E07349"/>
    <w:rsid w:val="00E17320"/>
    <w:rsid w:val="00E17879"/>
    <w:rsid w:val="00E32D0F"/>
    <w:rsid w:val="00E3357A"/>
    <w:rsid w:val="00E36393"/>
    <w:rsid w:val="00E3662C"/>
    <w:rsid w:val="00E368A2"/>
    <w:rsid w:val="00E37BA3"/>
    <w:rsid w:val="00E43358"/>
    <w:rsid w:val="00E434B1"/>
    <w:rsid w:val="00E440CD"/>
    <w:rsid w:val="00E44E59"/>
    <w:rsid w:val="00E46CFE"/>
    <w:rsid w:val="00E538FF"/>
    <w:rsid w:val="00E60C8F"/>
    <w:rsid w:val="00E62A76"/>
    <w:rsid w:val="00E63EC0"/>
    <w:rsid w:val="00E66C50"/>
    <w:rsid w:val="00E74EFA"/>
    <w:rsid w:val="00E765EB"/>
    <w:rsid w:val="00E82EB3"/>
    <w:rsid w:val="00E83D5B"/>
    <w:rsid w:val="00E846F5"/>
    <w:rsid w:val="00E92570"/>
    <w:rsid w:val="00E93436"/>
    <w:rsid w:val="00E95820"/>
    <w:rsid w:val="00E95DC1"/>
    <w:rsid w:val="00E976AF"/>
    <w:rsid w:val="00EA0F67"/>
    <w:rsid w:val="00EA149C"/>
    <w:rsid w:val="00EA7761"/>
    <w:rsid w:val="00EA7EFB"/>
    <w:rsid w:val="00EB07BF"/>
    <w:rsid w:val="00EB274F"/>
    <w:rsid w:val="00EB4191"/>
    <w:rsid w:val="00EC01EA"/>
    <w:rsid w:val="00EC24BB"/>
    <w:rsid w:val="00EC27CC"/>
    <w:rsid w:val="00EC4E02"/>
    <w:rsid w:val="00EC5E9B"/>
    <w:rsid w:val="00ED3BEC"/>
    <w:rsid w:val="00EE38DD"/>
    <w:rsid w:val="00EE3D1D"/>
    <w:rsid w:val="00EF0430"/>
    <w:rsid w:val="00EF1ECF"/>
    <w:rsid w:val="00EF2218"/>
    <w:rsid w:val="00EF59FC"/>
    <w:rsid w:val="00F012F9"/>
    <w:rsid w:val="00F063A7"/>
    <w:rsid w:val="00F0645C"/>
    <w:rsid w:val="00F07DF8"/>
    <w:rsid w:val="00F12282"/>
    <w:rsid w:val="00F151A1"/>
    <w:rsid w:val="00F1604C"/>
    <w:rsid w:val="00F20B58"/>
    <w:rsid w:val="00F2133C"/>
    <w:rsid w:val="00F231EE"/>
    <w:rsid w:val="00F23C40"/>
    <w:rsid w:val="00F2561B"/>
    <w:rsid w:val="00F25866"/>
    <w:rsid w:val="00F26B61"/>
    <w:rsid w:val="00F3189C"/>
    <w:rsid w:val="00F336A8"/>
    <w:rsid w:val="00F33EE4"/>
    <w:rsid w:val="00F36A66"/>
    <w:rsid w:val="00F402E2"/>
    <w:rsid w:val="00F41DE6"/>
    <w:rsid w:val="00F45000"/>
    <w:rsid w:val="00F4518A"/>
    <w:rsid w:val="00F56041"/>
    <w:rsid w:val="00F5722E"/>
    <w:rsid w:val="00F573A6"/>
    <w:rsid w:val="00F574A4"/>
    <w:rsid w:val="00F63C90"/>
    <w:rsid w:val="00F66A4C"/>
    <w:rsid w:val="00F7221C"/>
    <w:rsid w:val="00F742E2"/>
    <w:rsid w:val="00F80A88"/>
    <w:rsid w:val="00F87F33"/>
    <w:rsid w:val="00F9240D"/>
    <w:rsid w:val="00F940BC"/>
    <w:rsid w:val="00F94714"/>
    <w:rsid w:val="00F95303"/>
    <w:rsid w:val="00F95C2C"/>
    <w:rsid w:val="00FA05E6"/>
    <w:rsid w:val="00FA2D9B"/>
    <w:rsid w:val="00FB22BB"/>
    <w:rsid w:val="00FB7242"/>
    <w:rsid w:val="00FC0C74"/>
    <w:rsid w:val="00FD3994"/>
    <w:rsid w:val="00FE04F6"/>
    <w:rsid w:val="00FE22EE"/>
    <w:rsid w:val="00FE28C3"/>
    <w:rsid w:val="00FE35A6"/>
    <w:rsid w:val="00FE5CDB"/>
    <w:rsid w:val="00FE63E2"/>
    <w:rsid w:val="00FF13A5"/>
    <w:rsid w:val="00FF46B5"/>
    <w:rsid w:val="00FF7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C2C519C-4CCE-43D1-9F78-6CC8FAEF8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E62A7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E62A7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93447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9214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2149F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271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71BC9"/>
  </w:style>
  <w:style w:type="paragraph" w:styleId="Podnoje">
    <w:name w:val="footer"/>
    <w:basedOn w:val="Normal"/>
    <w:link w:val="PodnojeChar"/>
    <w:uiPriority w:val="99"/>
    <w:unhideWhenUsed/>
    <w:rsid w:val="00271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71BC9"/>
  </w:style>
  <w:style w:type="paragraph" w:styleId="StandardWeb">
    <w:name w:val="Normal (Web)"/>
    <w:basedOn w:val="Normal"/>
    <w:uiPriority w:val="99"/>
    <w:unhideWhenUsed/>
    <w:rsid w:val="00DA03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BA"/>
    </w:rPr>
  </w:style>
  <w:style w:type="character" w:styleId="Hiperveza">
    <w:name w:val="Hyperlink"/>
    <w:basedOn w:val="Zadanifontodlomka"/>
    <w:uiPriority w:val="99"/>
    <w:semiHidden/>
    <w:unhideWhenUsed/>
    <w:rsid w:val="00DD53C5"/>
    <w:rPr>
      <w:color w:val="0563C1"/>
      <w:u w:val="single"/>
    </w:rPr>
  </w:style>
  <w:style w:type="character" w:customStyle="1" w:styleId="Naslov1Char">
    <w:name w:val="Naslov 1 Char"/>
    <w:basedOn w:val="Zadanifontodlomka"/>
    <w:link w:val="Naslov1"/>
    <w:uiPriority w:val="9"/>
    <w:rsid w:val="00E62A7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E62A7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">
    <w:name w:val="Title"/>
    <w:basedOn w:val="Normal"/>
    <w:next w:val="Normal"/>
    <w:link w:val="NaslovChar"/>
    <w:uiPriority w:val="10"/>
    <w:qFormat/>
    <w:rsid w:val="00E62A7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slovChar">
    <w:name w:val="Naslov Char"/>
    <w:basedOn w:val="Zadanifontodlomka"/>
    <w:link w:val="Naslov"/>
    <w:uiPriority w:val="10"/>
    <w:rsid w:val="00E62A7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Naglaeno">
    <w:name w:val="Strong"/>
    <w:basedOn w:val="Zadanifontodlomka"/>
    <w:uiPriority w:val="22"/>
    <w:qFormat/>
    <w:rsid w:val="00E62A76"/>
    <w:rPr>
      <w:b/>
      <w:bCs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E62A76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E62A76"/>
    <w:rPr>
      <w:b/>
      <w:bCs/>
      <w:i/>
      <w:iCs/>
      <w:color w:val="4F81BD" w:themeColor="accent1"/>
    </w:rPr>
  </w:style>
  <w:style w:type="character" w:styleId="Jakoisticanje">
    <w:name w:val="Intense Emphasis"/>
    <w:basedOn w:val="Zadanifontodlomka"/>
    <w:uiPriority w:val="21"/>
    <w:qFormat/>
    <w:rsid w:val="00E62A76"/>
    <w:rPr>
      <w:b/>
      <w:bCs/>
      <w:i/>
      <w:iCs/>
      <w:color w:val="4F81BD" w:themeColor="accent1"/>
    </w:rPr>
  </w:style>
  <w:style w:type="character" w:customStyle="1" w:styleId="Naslov3Char">
    <w:name w:val="Naslov 3 Char"/>
    <w:basedOn w:val="Zadanifontodlomka"/>
    <w:link w:val="Naslov3"/>
    <w:uiPriority w:val="9"/>
    <w:rsid w:val="0093447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zproreda">
    <w:name w:val="No Spacing"/>
    <w:uiPriority w:val="1"/>
    <w:qFormat/>
    <w:rsid w:val="004A5A3B"/>
    <w:pPr>
      <w:spacing w:after="0" w:line="240" w:lineRule="auto"/>
    </w:pPr>
    <w:rPr>
      <w:lang w:val="bs-Latn-B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26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73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5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8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5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2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1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4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chart" Target="charts/chart3.xm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g"/><Relationship Id="rId12" Type="http://schemas.openxmlformats.org/officeDocument/2006/relationships/chart" Target="charts/chart2.xml"/><Relationship Id="rId17" Type="http://schemas.openxmlformats.org/officeDocument/2006/relationships/hyperlink" Target="http://www.fmt.gov.ba" TargetMode="External"/><Relationship Id="rId2" Type="http://schemas.openxmlformats.org/officeDocument/2006/relationships/styles" Target="styles.xml"/><Relationship Id="rId16" Type="http://schemas.openxmlformats.org/officeDocument/2006/relationships/image" Target="media/image7.e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hart" Target="charts/chart1.xml"/><Relationship Id="rId5" Type="http://schemas.openxmlformats.org/officeDocument/2006/relationships/footnotes" Target="footnotes.xml"/><Relationship Id="rId15" Type="http://schemas.openxmlformats.org/officeDocument/2006/relationships/image" Target="media/image6.emf"/><Relationship Id="rId10" Type="http://schemas.openxmlformats.org/officeDocument/2006/relationships/image" Target="media/image4.png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5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Radni_list_programa_Microsoft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Radni_list_programa_Microsoft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Radni_list_programa_Microsoft_Excel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>
        <c:manualLayout>
          <c:xMode val="edge"/>
          <c:yMode val="edge"/>
          <c:x val="0.85140648337066538"/>
          <c:y val="0.78662435616600546"/>
        </c:manualLayout>
      </c:layout>
      <c:overlay val="0"/>
      <c:spPr>
        <a:solidFill>
          <a:schemeClr val="bg1"/>
        </a:solidFill>
        <a:ln>
          <a:solidFill>
            <a:schemeClr val="bg1"/>
          </a:solidFill>
        </a:ln>
      </c:spPr>
      <c:txPr>
        <a:bodyPr/>
        <a:lstStyle/>
        <a:p>
          <a:pPr>
            <a:defRPr sz="1200" b="1" i="0" u="none" strike="noStrike" baseline="0">
              <a:solidFill>
                <a:srgbClr val="333399"/>
              </a:solidFill>
              <a:latin typeface="Arial"/>
              <a:ea typeface="Arial"/>
              <a:cs typeface="Arial"/>
            </a:defRPr>
          </a:pPr>
          <a:endParaRPr lang="sr-Latn-RS"/>
        </a:p>
      </c:txPr>
    </c:title>
    <c:autoTitleDeleted val="0"/>
    <c:plotArea>
      <c:layout>
        <c:manualLayout>
          <c:layoutTarget val="inner"/>
          <c:xMode val="edge"/>
          <c:yMode val="edge"/>
          <c:x val="4.9510399182934754E-2"/>
          <c:y val="6.8593897881723903E-2"/>
          <c:w val="0.92826675775117151"/>
          <c:h val="0.83830263039549957"/>
        </c:manualLayout>
      </c:layout>
      <c:lineChart>
        <c:grouping val="stacked"/>
        <c:varyColors val="0"/>
        <c:ser>
          <c:idx val="0"/>
          <c:order val="0"/>
          <c:tx>
            <c:strRef>
              <c:f>'BMB 98'!$B$1</c:f>
              <c:strCache>
                <c:ptCount val="1"/>
                <c:pt idx="0">
                  <c:v>BMB 98</c:v>
                </c:pt>
              </c:strCache>
            </c:strRef>
          </c:tx>
          <c:spPr>
            <a:ln>
              <a:solidFill>
                <a:schemeClr val="accent1"/>
              </a:solidFill>
            </a:ln>
          </c:spPr>
          <c:dLbls>
            <c:spPr>
              <a:noFill/>
              <a:ln w="2540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0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r-Latn-R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'BMB 98'!$A$2:$A$18</c:f>
              <c:strCache>
                <c:ptCount val="17"/>
                <c:pt idx="0">
                  <c:v>I 2024</c:v>
                </c:pt>
                <c:pt idx="1">
                  <c:v>II </c:v>
                </c:pt>
                <c:pt idx="2">
                  <c:v>III </c:v>
                </c:pt>
                <c:pt idx="3">
                  <c:v>IV 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</c:v>
                </c:pt>
                <c:pt idx="10">
                  <c:v>XI</c:v>
                </c:pt>
                <c:pt idx="11">
                  <c:v>XII</c:v>
                </c:pt>
                <c:pt idx="12">
                  <c:v>I 2025</c:v>
                </c:pt>
                <c:pt idx="13">
                  <c:v>II</c:v>
                </c:pt>
                <c:pt idx="14">
                  <c:v>III </c:v>
                </c:pt>
                <c:pt idx="15">
                  <c:v>IV </c:v>
                </c:pt>
                <c:pt idx="16">
                  <c:v>V</c:v>
                </c:pt>
              </c:strCache>
            </c:strRef>
          </c:cat>
          <c:val>
            <c:numRef>
              <c:f>'BMB 98'!$B$2:$B$18</c:f>
              <c:numCache>
                <c:formatCode>0.00</c:formatCode>
                <c:ptCount val="17"/>
                <c:pt idx="0">
                  <c:v>2.76</c:v>
                </c:pt>
                <c:pt idx="1">
                  <c:v>2.74</c:v>
                </c:pt>
                <c:pt idx="2">
                  <c:v>2.73</c:v>
                </c:pt>
                <c:pt idx="3">
                  <c:v>2.8</c:v>
                </c:pt>
                <c:pt idx="4">
                  <c:v>2.85</c:v>
                </c:pt>
                <c:pt idx="5">
                  <c:v>2.82</c:v>
                </c:pt>
                <c:pt idx="6">
                  <c:v>2.82</c:v>
                </c:pt>
                <c:pt idx="7">
                  <c:v>2.81</c:v>
                </c:pt>
                <c:pt idx="8">
                  <c:v>2.76</c:v>
                </c:pt>
                <c:pt idx="9">
                  <c:v>2.71</c:v>
                </c:pt>
                <c:pt idx="10">
                  <c:v>2.7</c:v>
                </c:pt>
                <c:pt idx="11">
                  <c:v>2.69</c:v>
                </c:pt>
                <c:pt idx="12">
                  <c:v>2.69</c:v>
                </c:pt>
                <c:pt idx="13">
                  <c:v>2.7</c:v>
                </c:pt>
                <c:pt idx="14">
                  <c:v>2.68</c:v>
                </c:pt>
                <c:pt idx="15">
                  <c:v>2.64</c:v>
                </c:pt>
                <c:pt idx="16">
                  <c:v>2.6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29934696"/>
        <c:axId val="529934304"/>
      </c:lineChart>
      <c:catAx>
        <c:axId val="52993469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529934304"/>
        <c:crosses val="autoZero"/>
        <c:auto val="1"/>
        <c:lblAlgn val="ctr"/>
        <c:lblOffset val="100"/>
        <c:noMultiLvlLbl val="0"/>
      </c:catAx>
      <c:valAx>
        <c:axId val="529934304"/>
        <c:scaling>
          <c:orientation val="minMax"/>
          <c:max val="3.2"/>
          <c:min val="2.2000000000000002"/>
        </c:scaling>
        <c:delete val="0"/>
        <c:axPos val="l"/>
        <c:numFmt formatCode="0.00" sourceLinked="1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529934696"/>
        <c:crosses val="autoZero"/>
        <c:crossBetween val="between"/>
        <c:majorUnit val="0.1"/>
      </c:valAx>
      <c:spPr>
        <a:solidFill>
          <a:schemeClr val="bg1"/>
        </a:solidFill>
        <a:ln w="25400" cmpd="sng">
          <a:solidFill>
            <a:schemeClr val="accent1"/>
          </a:solidFill>
        </a:ln>
        <a:scene3d>
          <a:camera prst="orthographicFront"/>
          <a:lightRig rig="threePt" dir="t"/>
        </a:scene3d>
        <a:sp3d>
          <a:bevelT w="0" h="0"/>
          <a:bevelB w="0" h="0"/>
        </a:sp3d>
      </c:spPr>
    </c:plotArea>
    <c:plotVisOnly val="1"/>
    <c:dispBlanksAs val="zero"/>
    <c:showDLblsOverMax val="0"/>
  </c:chart>
  <c:spPr>
    <a:solidFill>
      <a:schemeClr val="bg1"/>
    </a:solidFill>
    <a:ln w="25400">
      <a:solidFill>
        <a:schemeClr val="accent1"/>
      </a:solidFill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r-Latn-RS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FF0000"/>
                </a:solidFill>
                <a:latin typeface="Arial"/>
                <a:ea typeface="Arial"/>
                <a:cs typeface="Arial"/>
              </a:defRPr>
            </a:pPr>
            <a:r>
              <a:rPr lang="hr-BA"/>
              <a:t>BMB 95</a:t>
            </a:r>
          </a:p>
        </c:rich>
      </c:tx>
      <c:layout>
        <c:manualLayout>
          <c:xMode val="edge"/>
          <c:yMode val="edge"/>
          <c:x val="0.8610901428570189"/>
          <c:y val="0.70882208009526837"/>
        </c:manualLayout>
      </c:layout>
      <c:overlay val="0"/>
      <c:spPr>
        <a:solidFill>
          <a:schemeClr val="bg1"/>
        </a:solidFill>
      </c:spPr>
    </c:title>
    <c:autoTitleDeleted val="0"/>
    <c:plotArea>
      <c:layout>
        <c:manualLayout>
          <c:layoutTarget val="inner"/>
          <c:xMode val="edge"/>
          <c:yMode val="edge"/>
          <c:x val="5.055185756419623E-2"/>
          <c:y val="6.6172140067857377E-2"/>
          <c:w val="0.9275995075357848"/>
          <c:h val="0.84394524998399589"/>
        </c:manualLayout>
      </c:layout>
      <c:lineChart>
        <c:grouping val="stacked"/>
        <c:varyColors val="0"/>
        <c:ser>
          <c:idx val="0"/>
          <c:order val="0"/>
          <c:tx>
            <c:strRef>
              <c:f>'BMB 95'!$B$1</c:f>
              <c:strCache>
                <c:ptCount val="1"/>
                <c:pt idx="0">
                  <c:v>BMB 95</c:v>
                </c:pt>
              </c:strCache>
            </c:strRef>
          </c:tx>
          <c:spPr>
            <a:ln cap="rnd">
              <a:solidFill>
                <a:srgbClr val="FF0000"/>
              </a:solidFill>
            </a:ln>
          </c:spPr>
          <c:marker>
            <c:symbol val="diamond"/>
            <c:size val="7"/>
            <c:spPr>
              <a:solidFill>
                <a:srgbClr val="FF0000"/>
              </a:solidFill>
              <a:ln>
                <a:solidFill>
                  <a:srgbClr val="FF0000"/>
                </a:solidFill>
              </a:ln>
            </c:spPr>
          </c:marker>
          <c:dPt>
            <c:idx val="1"/>
            <c:bubble3D val="0"/>
          </c:dPt>
          <c:dPt>
            <c:idx val="2"/>
            <c:bubble3D val="0"/>
          </c:dPt>
          <c:dPt>
            <c:idx val="3"/>
            <c:bubble3D val="0"/>
          </c:dPt>
          <c:dPt>
            <c:idx val="4"/>
            <c:bubble3D val="0"/>
          </c:dPt>
          <c:dPt>
            <c:idx val="5"/>
            <c:bubble3D val="0"/>
          </c:dPt>
          <c:dPt>
            <c:idx val="6"/>
            <c:bubble3D val="0"/>
          </c:dPt>
          <c:dPt>
            <c:idx val="7"/>
            <c:bubble3D val="0"/>
          </c:dPt>
          <c:dPt>
            <c:idx val="8"/>
            <c:bubble3D val="0"/>
          </c:dPt>
          <c:dPt>
            <c:idx val="9"/>
            <c:bubble3D val="0"/>
          </c:dPt>
          <c:dLbls>
            <c:spPr>
              <a:noFill/>
              <a:ln w="2540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0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r-Latn-R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'BMB 95'!$A$2:$A$18</c:f>
              <c:strCache>
                <c:ptCount val="17"/>
                <c:pt idx="0">
                  <c:v>I 2024</c:v>
                </c:pt>
                <c:pt idx="1">
                  <c:v>II </c:v>
                </c:pt>
                <c:pt idx="2">
                  <c:v>III </c:v>
                </c:pt>
                <c:pt idx="3">
                  <c:v>IV 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 2024</c:v>
                </c:pt>
                <c:pt idx="10">
                  <c:v>XI</c:v>
                </c:pt>
                <c:pt idx="11">
                  <c:v>XII</c:v>
                </c:pt>
                <c:pt idx="12">
                  <c:v>I 2025</c:v>
                </c:pt>
                <c:pt idx="13">
                  <c:v>II</c:v>
                </c:pt>
                <c:pt idx="14">
                  <c:v>III </c:v>
                </c:pt>
                <c:pt idx="15">
                  <c:v>IV </c:v>
                </c:pt>
                <c:pt idx="16">
                  <c:v>V</c:v>
                </c:pt>
              </c:strCache>
            </c:strRef>
          </c:cat>
          <c:val>
            <c:numRef>
              <c:f>'BMB 95'!$B$2:$B$18</c:f>
              <c:numCache>
                <c:formatCode>General</c:formatCode>
                <c:ptCount val="17"/>
                <c:pt idx="0" formatCode="0.00">
                  <c:v>2.5099999999999998</c:v>
                </c:pt>
                <c:pt idx="1">
                  <c:v>2.54</c:v>
                </c:pt>
                <c:pt idx="2">
                  <c:v>2.61</c:v>
                </c:pt>
                <c:pt idx="3" formatCode="0.00">
                  <c:v>2.7</c:v>
                </c:pt>
                <c:pt idx="4">
                  <c:v>2.73</c:v>
                </c:pt>
                <c:pt idx="5">
                  <c:v>2.65</c:v>
                </c:pt>
                <c:pt idx="6">
                  <c:v>2.64</c:v>
                </c:pt>
                <c:pt idx="7" formatCode="0.00">
                  <c:v>2.6</c:v>
                </c:pt>
                <c:pt idx="8">
                  <c:v>2.48</c:v>
                </c:pt>
                <c:pt idx="9">
                  <c:v>2.42</c:v>
                </c:pt>
                <c:pt idx="10">
                  <c:v>2.4300000000000002</c:v>
                </c:pt>
                <c:pt idx="11">
                  <c:v>2.4300000000000002</c:v>
                </c:pt>
                <c:pt idx="12" formatCode="0.00">
                  <c:v>2.4500000000000002</c:v>
                </c:pt>
                <c:pt idx="13">
                  <c:v>2.4900000000000002</c:v>
                </c:pt>
                <c:pt idx="14">
                  <c:v>2.44</c:v>
                </c:pt>
                <c:pt idx="15" formatCode="0.00">
                  <c:v>2.37</c:v>
                </c:pt>
                <c:pt idx="16">
                  <c:v>2.31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hiLowLines/>
        <c:marker val="1"/>
        <c:smooth val="0"/>
        <c:axId val="529935480"/>
        <c:axId val="530259288"/>
      </c:lineChart>
      <c:catAx>
        <c:axId val="52993548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530259288"/>
        <c:crosses val="autoZero"/>
        <c:auto val="1"/>
        <c:lblAlgn val="ctr"/>
        <c:lblOffset val="100"/>
        <c:noMultiLvlLbl val="0"/>
      </c:catAx>
      <c:valAx>
        <c:axId val="530259288"/>
        <c:scaling>
          <c:orientation val="minMax"/>
          <c:max val="3.1"/>
          <c:min val="2"/>
        </c:scaling>
        <c:delete val="0"/>
        <c:axPos val="l"/>
        <c:numFmt formatCode="#,##0.00" sourceLinked="0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529935480"/>
        <c:crosses val="autoZero"/>
        <c:crossBetween val="between"/>
        <c:majorUnit val="0.1"/>
        <c:minorUnit val="2.0000000000000004E-2"/>
      </c:valAx>
      <c:spPr>
        <a:solidFill>
          <a:schemeClr val="bg1"/>
        </a:solidFill>
        <a:ln w="25400">
          <a:solidFill>
            <a:srgbClr val="FF0000"/>
          </a:solidFill>
        </a:ln>
        <a:scene3d>
          <a:camera prst="orthographicFront"/>
          <a:lightRig rig="threePt" dir="t"/>
        </a:scene3d>
        <a:sp3d>
          <a:bevelT w="0" h="0"/>
          <a:bevelB w="0" h="0"/>
        </a:sp3d>
      </c:spPr>
    </c:plotArea>
    <c:plotVisOnly val="1"/>
    <c:dispBlanksAs val="zero"/>
    <c:showDLblsOverMax val="0"/>
  </c:chart>
  <c:spPr>
    <a:solidFill>
      <a:schemeClr val="bg1"/>
    </a:solidFill>
    <a:ln w="25400">
      <a:solidFill>
        <a:srgbClr val="FF0000"/>
      </a:solidFill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r-Latn-RS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FFCC00"/>
                </a:solidFill>
                <a:latin typeface="Arial"/>
                <a:ea typeface="Arial"/>
                <a:cs typeface="Arial"/>
              </a:defRPr>
            </a:pPr>
            <a:r>
              <a:rPr lang="hr-BA"/>
              <a:t>DIZEL BAS EN 590 (10 ppm)</a:t>
            </a:r>
          </a:p>
        </c:rich>
      </c:tx>
      <c:layout>
        <c:manualLayout>
          <c:xMode val="edge"/>
          <c:yMode val="edge"/>
          <c:x val="0.53086088255280228"/>
          <c:y val="0.77508795443122802"/>
        </c:manualLayout>
      </c:layout>
      <c:overlay val="0"/>
      <c:spPr>
        <a:solidFill>
          <a:schemeClr val="bg1"/>
        </a:solidFill>
      </c:spPr>
    </c:title>
    <c:autoTitleDeleted val="0"/>
    <c:plotArea>
      <c:layout>
        <c:manualLayout>
          <c:layoutTarget val="inner"/>
          <c:xMode val="edge"/>
          <c:yMode val="edge"/>
          <c:x val="4.8192383031767046E-2"/>
          <c:y val="7.6274324932684379E-2"/>
          <c:w val="0.93248236122251871"/>
          <c:h val="0.81598798936540684"/>
        </c:manualLayout>
      </c:layout>
      <c:lineChart>
        <c:grouping val="stacked"/>
        <c:varyColors val="0"/>
        <c:ser>
          <c:idx val="0"/>
          <c:order val="0"/>
          <c:spPr>
            <a:ln>
              <a:solidFill>
                <a:srgbClr val="FFC000"/>
              </a:solidFill>
            </a:ln>
          </c:spPr>
          <c:marker>
            <c:spPr>
              <a:solidFill>
                <a:srgbClr val="FFC000"/>
              </a:solidFill>
              <a:ln>
                <a:solidFill>
                  <a:srgbClr val="FFC000"/>
                </a:solidFill>
              </a:ln>
            </c:spPr>
          </c:marker>
          <c:dLbls>
            <c:spPr>
              <a:noFill/>
              <a:ln w="2540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0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r-Latn-R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DIZEL!$A$2:$A$18</c:f>
              <c:strCache>
                <c:ptCount val="17"/>
                <c:pt idx="0">
                  <c:v>I 2024</c:v>
                </c:pt>
                <c:pt idx="1">
                  <c:v>II </c:v>
                </c:pt>
                <c:pt idx="2">
                  <c:v>III </c:v>
                </c:pt>
                <c:pt idx="3">
                  <c:v>IV 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</c:v>
                </c:pt>
                <c:pt idx="10">
                  <c:v>XI</c:v>
                </c:pt>
                <c:pt idx="11">
                  <c:v>XII</c:v>
                </c:pt>
                <c:pt idx="12">
                  <c:v>I 2025</c:v>
                </c:pt>
                <c:pt idx="13">
                  <c:v>II</c:v>
                </c:pt>
                <c:pt idx="14">
                  <c:v>III </c:v>
                </c:pt>
                <c:pt idx="15">
                  <c:v>IV </c:v>
                </c:pt>
                <c:pt idx="16">
                  <c:v>V</c:v>
                </c:pt>
              </c:strCache>
            </c:strRef>
          </c:cat>
          <c:val>
            <c:numRef>
              <c:f>DIZEL!$B$2:$B$18</c:f>
              <c:numCache>
                <c:formatCode>0.00</c:formatCode>
                <c:ptCount val="17"/>
                <c:pt idx="0">
                  <c:v>2.61</c:v>
                </c:pt>
                <c:pt idx="1">
                  <c:v>2.68</c:v>
                </c:pt>
                <c:pt idx="2">
                  <c:v>2.71</c:v>
                </c:pt>
                <c:pt idx="3">
                  <c:v>2.7</c:v>
                </c:pt>
                <c:pt idx="4">
                  <c:v>2.62</c:v>
                </c:pt>
                <c:pt idx="5">
                  <c:v>2.5499999999999998</c:v>
                </c:pt>
                <c:pt idx="6">
                  <c:v>2.6</c:v>
                </c:pt>
                <c:pt idx="7">
                  <c:v>2.52</c:v>
                </c:pt>
                <c:pt idx="8">
                  <c:v>2.41</c:v>
                </c:pt>
                <c:pt idx="9">
                  <c:v>2.39</c:v>
                </c:pt>
                <c:pt idx="10">
                  <c:v>2.42</c:v>
                </c:pt>
                <c:pt idx="11">
                  <c:v>2.46</c:v>
                </c:pt>
                <c:pt idx="12">
                  <c:v>2.5</c:v>
                </c:pt>
                <c:pt idx="13">
                  <c:v>2.54</c:v>
                </c:pt>
                <c:pt idx="14">
                  <c:v>2.46</c:v>
                </c:pt>
                <c:pt idx="15">
                  <c:v>2.34</c:v>
                </c:pt>
                <c:pt idx="16">
                  <c:v>2.25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hiLowLines/>
        <c:marker val="1"/>
        <c:smooth val="0"/>
        <c:axId val="530260072"/>
        <c:axId val="530260464"/>
      </c:lineChart>
      <c:catAx>
        <c:axId val="53026007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530260464"/>
        <c:crosses val="autoZero"/>
        <c:auto val="1"/>
        <c:lblAlgn val="ctr"/>
        <c:lblOffset val="100"/>
        <c:noMultiLvlLbl val="0"/>
      </c:catAx>
      <c:valAx>
        <c:axId val="530260464"/>
        <c:scaling>
          <c:orientation val="minMax"/>
          <c:max val="3"/>
          <c:min val="2.2000000000000002"/>
        </c:scaling>
        <c:delete val="0"/>
        <c:axPos val="l"/>
        <c:numFmt formatCode="#,##0.00" sourceLinked="0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530260072"/>
        <c:crosses val="autoZero"/>
        <c:crossBetween val="between"/>
        <c:majorUnit val="0.1"/>
      </c:valAx>
      <c:spPr>
        <a:solidFill>
          <a:schemeClr val="bg1"/>
        </a:solidFill>
        <a:ln w="25400" cap="flat" cmpd="sng">
          <a:solidFill>
            <a:srgbClr val="FFC000"/>
          </a:solidFill>
          <a:round/>
        </a:ln>
        <a:effectLst>
          <a:glow>
            <a:schemeClr val="bg1"/>
          </a:glow>
        </a:effectLst>
        <a:scene3d>
          <a:camera prst="orthographicFront"/>
          <a:lightRig rig="threePt" dir="t"/>
        </a:scene3d>
        <a:sp3d>
          <a:bevelT w="0" h="0"/>
          <a:bevelB w="0" h="0"/>
        </a:sp3d>
      </c:spPr>
    </c:plotArea>
    <c:plotVisOnly val="1"/>
    <c:dispBlanksAs val="zero"/>
    <c:showDLblsOverMax val="0"/>
  </c:chart>
  <c:spPr>
    <a:solidFill>
      <a:schemeClr val="bg1"/>
    </a:solidFill>
    <a:ln w="25400" cmpd="thickThin">
      <a:solidFill>
        <a:srgbClr val="FFC000"/>
      </a:solidFill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r-Latn-R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47C5B1-4C4E-4FC7-946E-7C5F18C8A6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9</Pages>
  <Words>1347</Words>
  <Characters>7683</Characters>
  <Application>Microsoft Office Word</Application>
  <DocSecurity>0</DocSecurity>
  <Lines>64</Lines>
  <Paragraphs>18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Aida Milavić</dc:creator>
  <cp:lastModifiedBy>X</cp:lastModifiedBy>
  <cp:revision>14</cp:revision>
  <cp:lastPrinted>2022-09-01T10:16:00Z</cp:lastPrinted>
  <dcterms:created xsi:type="dcterms:W3CDTF">2025-06-16T09:57:00Z</dcterms:created>
  <dcterms:modified xsi:type="dcterms:W3CDTF">2025-06-17T13:37:00Z</dcterms:modified>
</cp:coreProperties>
</file>