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8097D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9F67DF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Septembar</w:t>
      </w:r>
      <w:r w:rsidR="00EA79D9"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/</w:t>
      </w: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Rujan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DADFC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>d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</w:t>
      </w:r>
      <w:r w:rsidR="00EA7EFB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F67DF">
        <w:rPr>
          <w:rFonts w:ascii="Arial" w:eastAsiaTheme="majorEastAsia" w:hAnsi="Arial" w:cs="Arial"/>
          <w:b/>
          <w:bCs/>
          <w:sz w:val="24"/>
          <w:szCs w:val="26"/>
          <w:lang w:val="hr-HR"/>
        </w:rPr>
        <w:t>septembra</w:t>
      </w:r>
      <w:r w:rsidR="00EA79D9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9F67DF" w:rsidRDefault="009F67D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9F67DF" w:rsidP="009F67DF">
      <w:pPr>
        <w:spacing w:after="0" w:line="240" w:lineRule="auto"/>
        <w:jc w:val="both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noProof/>
          <w:lang w:eastAsia="hr-BA"/>
        </w:rPr>
        <w:drawing>
          <wp:inline distT="0" distB="0" distL="0" distR="0" wp14:anchorId="7248BCB2" wp14:editId="48E96672">
            <wp:extent cx="5761355" cy="2476500"/>
            <wp:effectExtent l="0" t="0" r="10795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9F67DF" w:rsidRDefault="009F67DF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CF60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noProof/>
          <w:lang w:eastAsia="hr-BA"/>
        </w:rPr>
        <w:drawing>
          <wp:inline distT="0" distB="0" distL="0" distR="0" wp14:anchorId="34D5B9E8" wp14:editId="7960E0FE">
            <wp:extent cx="5761355" cy="2499360"/>
            <wp:effectExtent l="0" t="0" r="10795" b="15240"/>
            <wp:docPr id="4" name="Grafikon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Izvor: oil-price.net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9B1258" w:rsidRDefault="009B1258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811D21" w:rsidRDefault="00811D21" w:rsidP="00B44FC2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B44FC2">
        <w:rPr>
          <w:rFonts w:ascii="Arial" w:eastAsiaTheme="majorEastAsia" w:hAnsi="Arial" w:cs="Arial"/>
          <w:b/>
          <w:bCs/>
          <w:sz w:val="24"/>
          <w:szCs w:val="26"/>
          <w:lang w:val="hr-HR"/>
        </w:rPr>
        <w:t>septembra</w:t>
      </w:r>
      <w:r w:rsidR="007C1B58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</w:p>
    <w:p w:rsidR="005F08C6" w:rsidRDefault="0056650E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</w:t>
      </w:r>
      <w:r w:rsidRPr="0056650E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50E" w:rsidRDefault="00B44FC2" w:rsidP="00C732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noProof/>
          <w:lang w:eastAsia="hr-BA"/>
        </w:rPr>
        <w:drawing>
          <wp:inline distT="0" distB="0" distL="0" distR="0" wp14:anchorId="13C3FBB3" wp14:editId="0CFC0FEA">
            <wp:extent cx="5761355" cy="2293620"/>
            <wp:effectExtent l="0" t="0" r="10795" b="11430"/>
            <wp:docPr id="9" name="Grafikon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>ina, BAS EN 228 - BMB 98</w:t>
      </w:r>
      <w:r w:rsidR="00F177DD" w:rsidRPr="00F177DD">
        <w:t xml:space="preserve"> </w:t>
      </w:r>
      <w:r w:rsidR="009E26A7" w:rsidRPr="008D0EA0">
        <w:rPr>
          <w:rFonts w:ascii="Arial" w:hAnsi="Arial" w:cs="Arial"/>
          <w:sz w:val="24"/>
          <w:lang w:val="hr-HR"/>
        </w:rPr>
        <w:t xml:space="preserve">u </w:t>
      </w:r>
      <w:r w:rsidR="00B44FC2">
        <w:rPr>
          <w:rFonts w:ascii="Arial" w:hAnsi="Arial" w:cs="Arial"/>
          <w:sz w:val="24"/>
          <w:lang w:val="hr-HR"/>
        </w:rPr>
        <w:t>septembru/rujnu</w:t>
      </w:r>
      <w:r w:rsidR="008C7250" w:rsidRPr="008C7250">
        <w:rPr>
          <w:rFonts w:ascii="Arial" w:hAnsi="Arial" w:cs="Arial"/>
          <w:sz w:val="24"/>
          <w:lang w:val="hr-HR"/>
        </w:rPr>
        <w:t xml:space="preserve">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>. godine</w:t>
      </w:r>
      <w:r w:rsidR="00B44FC2">
        <w:rPr>
          <w:rFonts w:ascii="Arial" w:hAnsi="Arial" w:cs="Arial"/>
          <w:sz w:val="24"/>
          <w:lang w:val="hr-HR"/>
        </w:rPr>
        <w:t xml:space="preserve"> nisu se mijenjale </w:t>
      </w:r>
      <w:r w:rsidR="00B44FC2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B44FC2">
        <w:rPr>
          <w:rFonts w:ascii="Arial" w:hAnsi="Arial" w:cs="Arial"/>
          <w:sz w:val="24"/>
          <w:lang w:val="hr-HR"/>
        </w:rPr>
        <w:t>septembru/rujnu</w:t>
      </w:r>
      <w:r w:rsidR="008C1E8F" w:rsidRPr="008C1E8F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B44FC2">
        <w:rPr>
          <w:rFonts w:ascii="Arial" w:hAnsi="Arial" w:cs="Arial"/>
          <w:sz w:val="24"/>
          <w:lang w:val="hr-HR"/>
        </w:rPr>
        <w:t>6,52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B44FC2">
        <w:rPr>
          <w:rFonts w:ascii="Arial" w:hAnsi="Arial" w:cs="Arial"/>
          <w:sz w:val="24"/>
          <w:lang w:val="hr-HR"/>
        </w:rPr>
        <w:t>septembar/rujan</w:t>
      </w:r>
      <w:r w:rsidR="00EA7EFB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B44FC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 </w:t>
      </w:r>
    </w:p>
    <w:p w:rsidR="00091FD5" w:rsidRPr="00433FEE" w:rsidRDefault="0056650E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rFonts w:ascii="Arial" w:hAnsi="Arial" w:cs="Arial"/>
          <w:noProof/>
          <w:sz w:val="28"/>
          <w:szCs w:val="28"/>
          <w:lang w:eastAsia="hr-BA"/>
        </w:rPr>
      </w:pPr>
      <w:r w:rsidRPr="0056650E">
        <w:rPr>
          <w:noProof/>
          <w:sz w:val="28"/>
          <w:szCs w:val="28"/>
          <w:lang w:eastAsia="hr-BA"/>
        </w:rPr>
        <w:t xml:space="preserve">      </w:t>
      </w:r>
      <w:r>
        <w:rPr>
          <w:noProof/>
          <w:sz w:val="28"/>
          <w:szCs w:val="28"/>
          <w:lang w:eastAsia="hr-BA"/>
        </w:rPr>
        <w:t xml:space="preserve">                                                                                                                         </w:t>
      </w:r>
      <w:r w:rsidRPr="0056650E">
        <w:rPr>
          <w:noProof/>
          <w:sz w:val="28"/>
          <w:szCs w:val="28"/>
          <w:lang w:eastAsia="hr-BA"/>
        </w:rPr>
        <w:t xml:space="preserve"> </w:t>
      </w:r>
      <w:r w:rsidR="00B44FC2">
        <w:rPr>
          <w:noProof/>
          <w:sz w:val="28"/>
          <w:szCs w:val="28"/>
          <w:lang w:eastAsia="hr-BA"/>
        </w:rPr>
        <w:t xml:space="preserve">  </w:t>
      </w:r>
      <w:r w:rsidRPr="00433FEE">
        <w:rPr>
          <w:rFonts w:ascii="Arial" w:hAnsi="Arial" w:cs="Arial"/>
          <w:noProof/>
          <w:sz w:val="24"/>
          <w:szCs w:val="28"/>
          <w:lang w:eastAsia="hr-BA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6650E" w:rsidRDefault="00B44FC2" w:rsidP="00947FC8">
      <w:pPr>
        <w:tabs>
          <w:tab w:val="left" w:pos="567"/>
          <w:tab w:val="left" w:pos="709"/>
          <w:tab w:val="left" w:pos="7230"/>
          <w:tab w:val="left" w:pos="8505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noProof/>
          <w:lang w:eastAsia="hr-BA"/>
        </w:rPr>
        <w:drawing>
          <wp:inline distT="0" distB="0" distL="0" distR="0" wp14:anchorId="0DB91839" wp14:editId="1CDABA86">
            <wp:extent cx="5761355" cy="2171700"/>
            <wp:effectExtent l="0" t="0" r="10795" b="0"/>
            <wp:docPr id="12" name="Grafikon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hr-HR"/>
        </w:rPr>
        <w:t xml:space="preserve"> </w:t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B44FC2" w:rsidRDefault="00B44FC2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6A2539">
        <w:rPr>
          <w:rFonts w:ascii="Arial" w:hAnsi="Arial" w:cs="Arial"/>
          <w:sz w:val="24"/>
          <w:lang w:val="hr-HR"/>
        </w:rPr>
        <w:t>septembru/rujnu</w:t>
      </w:r>
      <w:r w:rsidR="00325B8E" w:rsidRPr="00325B8E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433FEE">
        <w:rPr>
          <w:rFonts w:ascii="Arial" w:hAnsi="Arial" w:cs="Arial"/>
          <w:sz w:val="24"/>
          <w:lang w:val="hr-HR"/>
        </w:rPr>
        <w:t>nisu se mijenjale</w:t>
      </w:r>
      <w:r w:rsidR="003A5362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5612D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6A2539">
        <w:rPr>
          <w:rFonts w:ascii="Arial" w:hAnsi="Arial" w:cs="Arial"/>
          <w:sz w:val="24"/>
          <w:lang w:val="hr-HR"/>
        </w:rPr>
        <w:t>septembru/rujnu</w:t>
      </w:r>
      <w:r w:rsidR="008C1E8F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6A2539">
        <w:rPr>
          <w:rFonts w:ascii="Arial" w:hAnsi="Arial" w:cs="Arial"/>
          <w:sz w:val="24"/>
          <w:lang w:val="hr-HR"/>
        </w:rPr>
        <w:t>4,84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6A2539">
        <w:rPr>
          <w:rFonts w:ascii="Arial" w:hAnsi="Arial" w:cs="Arial"/>
          <w:sz w:val="24"/>
          <w:lang w:val="hr-HR"/>
        </w:rPr>
        <w:t>septembar/rujan</w:t>
      </w:r>
      <w:r w:rsidR="00325B8E" w:rsidRPr="00325B8E">
        <w:rPr>
          <w:rFonts w:ascii="Arial" w:hAnsi="Arial" w:cs="Arial"/>
          <w:sz w:val="24"/>
          <w:lang w:val="hr-HR"/>
        </w:rPr>
        <w:t xml:space="preserve">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830BFA" w:rsidRDefault="00A521F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</w:t>
      </w:r>
      <w:r w:rsidR="00396DA9">
        <w:rPr>
          <w:rFonts w:cs="Arial"/>
          <w:sz w:val="28"/>
          <w:szCs w:val="24"/>
          <w:lang w:val="hr-HR"/>
        </w:rPr>
        <w:t xml:space="preserve">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</w:p>
    <w:p w:rsidR="00B27EEB" w:rsidRDefault="00FA4706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noProof/>
          <w:lang w:eastAsia="hr-BA"/>
        </w:rPr>
      </w:pPr>
      <w:r w:rsidRPr="00FA4706">
        <w:rPr>
          <w:noProof/>
          <w:lang w:eastAsia="hr-BA"/>
        </w:rPr>
        <w:t xml:space="preserve">                                                                                                                             </w:t>
      </w:r>
      <w:r>
        <w:rPr>
          <w:noProof/>
          <w:lang w:eastAsia="hr-BA"/>
        </w:rPr>
        <w:t xml:space="preserve">          </w:t>
      </w:r>
    </w:p>
    <w:p w:rsidR="00B44FC2" w:rsidRDefault="00FA4706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noProof/>
          <w:lang w:eastAsia="hr-BA"/>
        </w:rPr>
      </w:pPr>
      <w:r>
        <w:rPr>
          <w:noProof/>
          <w:lang w:eastAsia="hr-BA"/>
        </w:rPr>
        <w:t xml:space="preserve">                      </w:t>
      </w:r>
    </w:p>
    <w:p w:rsidR="005612D0" w:rsidRPr="00FA4706" w:rsidRDefault="00FA4706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hr-BA"/>
        </w:rPr>
      </w:pPr>
      <w:r>
        <w:rPr>
          <w:noProof/>
          <w:lang w:eastAsia="hr-BA"/>
        </w:rPr>
        <w:lastRenderedPageBreak/>
        <w:t xml:space="preserve">     </w:t>
      </w:r>
      <w:r w:rsidR="006A2539">
        <w:rPr>
          <w:noProof/>
          <w:lang w:eastAsia="hr-BA"/>
        </w:rPr>
        <w:t xml:space="preserve">                                                                                                                                                            </w:t>
      </w:r>
      <w:r>
        <w:rPr>
          <w:noProof/>
          <w:lang w:eastAsia="hr-BA"/>
        </w:rPr>
        <w:t xml:space="preserve"> </w:t>
      </w:r>
      <w:r w:rsidRPr="00FA4706">
        <w:rPr>
          <w:rFonts w:ascii="Arial" w:hAnsi="Arial" w:cs="Arial"/>
          <w:noProof/>
          <w:sz w:val="24"/>
          <w:szCs w:val="24"/>
          <w:lang w:eastAsia="hr-BA"/>
        </w:rPr>
        <w:t xml:space="preserve">KM/litru          </w:t>
      </w:r>
    </w:p>
    <w:p w:rsidR="00FA4706" w:rsidRDefault="00764097" w:rsidP="00947FC8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noProof/>
          <w:lang w:eastAsia="hr-BA"/>
        </w:rPr>
        <w:drawing>
          <wp:inline distT="0" distB="0" distL="0" distR="0" wp14:anchorId="7CA7127F" wp14:editId="18513B8D">
            <wp:extent cx="5737860" cy="2141220"/>
            <wp:effectExtent l="0" t="0" r="15240" b="11430"/>
            <wp:docPr id="13" name="Grafikon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764097">
        <w:rPr>
          <w:rFonts w:ascii="Arial" w:eastAsiaTheme="majorEastAsia" w:hAnsi="Arial" w:cs="Arial"/>
          <w:bCs/>
          <w:sz w:val="24"/>
          <w:szCs w:val="24"/>
          <w:lang w:val="hr-HR"/>
        </w:rPr>
        <w:t>septembru/rujnu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8C1E8F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764097">
        <w:rPr>
          <w:rFonts w:ascii="Arial" w:eastAsiaTheme="majorEastAsia" w:hAnsi="Arial" w:cs="Arial"/>
          <w:bCs/>
          <w:sz w:val="24"/>
          <w:szCs w:val="24"/>
          <w:lang w:val="hr-HR"/>
        </w:rPr>
        <w:t>1,27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764097">
        <w:rPr>
          <w:rFonts w:ascii="Arial" w:eastAsiaTheme="majorEastAsia" w:hAnsi="Arial" w:cs="Arial"/>
          <w:bCs/>
          <w:sz w:val="24"/>
          <w:szCs w:val="24"/>
          <w:lang w:val="hr-HR"/>
        </w:rPr>
        <w:t>septembru/rujnu</w:t>
      </w:r>
      <w:r w:rsidR="00325B8E" w:rsidRPr="00325B8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764097">
        <w:rPr>
          <w:rFonts w:ascii="Arial" w:eastAsiaTheme="majorEastAsia" w:hAnsi="Arial" w:cs="Arial"/>
          <w:bCs/>
          <w:sz w:val="24"/>
          <w:szCs w:val="24"/>
          <w:lang w:val="hr-HR"/>
        </w:rPr>
        <w:t>3,32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764097">
        <w:rPr>
          <w:rFonts w:ascii="Arial" w:eastAsiaTheme="majorEastAsia" w:hAnsi="Arial" w:cs="Arial"/>
          <w:bCs/>
          <w:sz w:val="24"/>
          <w:szCs w:val="24"/>
          <w:lang w:val="hr-HR"/>
        </w:rPr>
        <w:t>septembar/rujan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764097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B27EE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B27EE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lastRenderedPageBreak/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r w:rsidR="00C15AF5">
        <w:rPr>
          <w:rFonts w:ascii="Arial" w:hAnsi="Arial" w:cs="Arial"/>
          <w:b/>
          <w:sz w:val="24"/>
          <w:lang w:val="hr-HR"/>
        </w:rPr>
        <w:t xml:space="preserve">septembar/rujan </w:t>
      </w:r>
      <w:r w:rsidRPr="00105593">
        <w:rPr>
          <w:rFonts w:ascii="Arial" w:hAnsi="Arial" w:cs="Arial"/>
          <w:b/>
          <w:sz w:val="24"/>
          <w:lang w:val="hr-HR"/>
        </w:rPr>
        <w:t xml:space="preserve">2025. godine </w:t>
      </w:r>
    </w:p>
    <w:p w:rsidR="00433FEE" w:rsidRDefault="00433FEE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</w:p>
    <w:p w:rsidR="00433FEE" w:rsidRDefault="00433FEE" w:rsidP="00433FEE">
      <w:pPr>
        <w:spacing w:after="0"/>
        <w:rPr>
          <w:rFonts w:ascii="Arial" w:hAnsi="Arial" w:cs="Arial"/>
          <w:b/>
          <w:sz w:val="24"/>
          <w:lang w:val="hr-HR"/>
        </w:rPr>
      </w:pPr>
    </w:p>
    <w:p w:rsidR="0005473B" w:rsidRPr="00433FEE" w:rsidRDefault="00C14C83" w:rsidP="00132EEE">
      <w:pPr>
        <w:spacing w:after="0"/>
        <w:rPr>
          <w:rFonts w:ascii="Arial" w:hAnsi="Arial" w:cs="Arial"/>
          <w:sz w:val="24"/>
          <w:lang w:val="hr-HR"/>
        </w:rPr>
      </w:pPr>
      <w:r w:rsidRPr="00C14C83">
        <w:rPr>
          <w:noProof/>
          <w:lang w:eastAsia="hr-BA"/>
        </w:rPr>
        <w:drawing>
          <wp:inline distT="0" distB="0" distL="0" distR="0">
            <wp:extent cx="5759450" cy="2186724"/>
            <wp:effectExtent l="0" t="0" r="0" b="4445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094" cy="2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94C" w:rsidRPr="00792B05" w:rsidRDefault="006A15B6" w:rsidP="00132EEE">
      <w:pPr>
        <w:spacing w:after="0"/>
        <w:rPr>
          <w:rFonts w:ascii="Arial" w:hAnsi="Arial" w:cs="Arial"/>
          <w:sz w:val="20"/>
          <w:lang w:val="hr-HR"/>
        </w:rPr>
      </w:pPr>
      <w:r w:rsidRPr="006A15B6">
        <w:rPr>
          <w:rFonts w:ascii="Arial" w:hAnsi="Arial" w:cs="Arial"/>
          <w:sz w:val="20"/>
          <w:lang w:val="hr-HR"/>
        </w:rPr>
        <w:t xml:space="preserve">Izvor: Federalno ministarstvo trgovine                         </w:t>
      </w:r>
      <w:r w:rsidRPr="006A15B6">
        <w:rPr>
          <w:rFonts w:ascii="Arial" w:hAnsi="Arial" w:cs="Arial"/>
          <w:sz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A15B6" w:rsidRPr="009F0F93" w:rsidRDefault="006A15B6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C14C83">
        <w:rPr>
          <w:rFonts w:ascii="Arial" w:hAnsi="Arial" w:cs="Arial"/>
          <w:sz w:val="24"/>
          <w:lang w:val="hr-HR"/>
        </w:rPr>
        <w:t>septembar/rujan</w:t>
      </w:r>
      <w:r w:rsidR="004E2DC2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255942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255942">
        <w:rPr>
          <w:rFonts w:ascii="Arial" w:hAnsi="Arial" w:cs="Arial"/>
          <w:sz w:val="24"/>
          <w:lang w:val="hr-HR"/>
        </w:rPr>
        <w:t>Najviša maloprodajna cijena naftnog derivata SUPER PLUS bezolovnog benzina, BAS EN 228 - BMB 98</w:t>
      </w:r>
      <w:r>
        <w:rPr>
          <w:rFonts w:ascii="Arial" w:hAnsi="Arial" w:cs="Arial"/>
          <w:sz w:val="24"/>
          <w:lang w:val="hr-HR"/>
        </w:rPr>
        <w:t xml:space="preserve"> </w:t>
      </w:r>
      <w:r w:rsidR="009F0F93" w:rsidRPr="009F0F93">
        <w:rPr>
          <w:rFonts w:ascii="Arial" w:hAnsi="Arial" w:cs="Arial"/>
          <w:sz w:val="24"/>
          <w:lang w:val="hr-HR"/>
        </w:rPr>
        <w:t xml:space="preserve">evidentirana je u </w:t>
      </w:r>
      <w:r w:rsidR="00433FEE">
        <w:rPr>
          <w:rFonts w:ascii="Arial" w:hAnsi="Arial" w:cs="Arial"/>
          <w:sz w:val="24"/>
          <w:lang w:val="hr-HR"/>
        </w:rPr>
        <w:t>Bosansko-</w:t>
      </w:r>
      <w:proofErr w:type="spellStart"/>
      <w:r w:rsidR="00433FEE">
        <w:rPr>
          <w:rFonts w:ascii="Arial" w:hAnsi="Arial" w:cs="Arial"/>
          <w:sz w:val="24"/>
          <w:lang w:val="hr-HR"/>
        </w:rPr>
        <w:t>podrinjskom</w:t>
      </w:r>
      <w:proofErr w:type="spellEnd"/>
      <w:r w:rsidR="00433FEE" w:rsidRPr="00433FEE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 xml:space="preserve">i </w:t>
      </w:r>
      <w:proofErr w:type="spellStart"/>
      <w:r w:rsidR="00433FEE">
        <w:rPr>
          <w:rFonts w:ascii="Arial" w:hAnsi="Arial" w:cs="Arial"/>
          <w:sz w:val="24"/>
          <w:lang w:val="hr-HR"/>
        </w:rPr>
        <w:t>Zapadnohercegovačkom</w:t>
      </w:r>
      <w:proofErr w:type="spellEnd"/>
      <w:r w:rsidR="00433FEE">
        <w:rPr>
          <w:rFonts w:ascii="Arial" w:hAnsi="Arial" w:cs="Arial"/>
          <w:sz w:val="24"/>
          <w:lang w:val="hr-HR"/>
        </w:rPr>
        <w:t xml:space="preserve"> </w:t>
      </w:r>
      <w:r w:rsidR="003D6DE3">
        <w:rPr>
          <w:rFonts w:ascii="Arial" w:hAnsi="Arial" w:cs="Arial"/>
          <w:sz w:val="24"/>
          <w:lang w:val="hr-HR"/>
        </w:rPr>
        <w:t>kantonu</w:t>
      </w:r>
      <w:r w:rsidR="00482EC0">
        <w:rPr>
          <w:rFonts w:ascii="Arial" w:hAnsi="Arial" w:cs="Arial"/>
          <w:sz w:val="24"/>
          <w:lang w:val="hr-HR"/>
        </w:rPr>
        <w:t xml:space="preserve"> i</w:t>
      </w:r>
      <w:r w:rsidR="003D6DE3">
        <w:rPr>
          <w:rFonts w:ascii="Arial" w:hAnsi="Arial" w:cs="Arial"/>
          <w:sz w:val="24"/>
          <w:lang w:val="hr-HR"/>
        </w:rPr>
        <w:t xml:space="preserve"> </w:t>
      </w:r>
      <w:r w:rsidR="007733A6">
        <w:rPr>
          <w:rFonts w:ascii="Arial" w:hAnsi="Arial" w:cs="Arial"/>
          <w:sz w:val="24"/>
          <w:lang w:val="hr-HR"/>
        </w:rPr>
        <w:t>iznosi 2,6</w:t>
      </w:r>
      <w:r w:rsidR="00725D1B">
        <w:rPr>
          <w:rFonts w:ascii="Arial" w:hAnsi="Arial" w:cs="Arial"/>
          <w:sz w:val="24"/>
          <w:lang w:val="hr-HR"/>
        </w:rPr>
        <w:t>3</w:t>
      </w:r>
      <w:r w:rsidR="009F0F93"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3D6DE3">
        <w:rPr>
          <w:rFonts w:ascii="Arial" w:hAnsi="Arial" w:cs="Arial"/>
          <w:sz w:val="24"/>
          <w:lang w:val="hr-HR"/>
        </w:rPr>
        <w:t>Posavskom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="009F0F93" w:rsidRPr="009F0F93">
        <w:rPr>
          <w:rFonts w:ascii="Arial" w:hAnsi="Arial" w:cs="Arial"/>
          <w:sz w:val="24"/>
          <w:lang w:val="hr-HR"/>
        </w:rPr>
        <w:t xml:space="preserve">kantonu i iznosi </w:t>
      </w:r>
      <w:r w:rsidR="00923E8B">
        <w:rPr>
          <w:rFonts w:ascii="Arial" w:hAnsi="Arial" w:cs="Arial"/>
          <w:sz w:val="24"/>
          <w:lang w:val="hr-HR"/>
        </w:rPr>
        <w:t>2,</w:t>
      </w:r>
      <w:r w:rsidR="007733A6">
        <w:rPr>
          <w:rFonts w:ascii="Arial" w:hAnsi="Arial" w:cs="Arial"/>
          <w:sz w:val="24"/>
          <w:lang w:val="hr-HR"/>
        </w:rPr>
        <w:t>5</w:t>
      </w:r>
      <w:r w:rsidR="00725D1B">
        <w:rPr>
          <w:rFonts w:ascii="Arial" w:hAnsi="Arial" w:cs="Arial"/>
          <w:sz w:val="24"/>
          <w:lang w:val="hr-HR"/>
        </w:rPr>
        <w:t>3</w:t>
      </w:r>
      <w:r w:rsidR="009F0F93"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r w:rsidR="00C14C83" w:rsidRPr="00C14C83">
        <w:rPr>
          <w:rFonts w:ascii="Arial" w:hAnsi="Arial" w:cs="Arial"/>
          <w:sz w:val="24"/>
          <w:lang w:val="hr-HR"/>
        </w:rPr>
        <w:t>Bosansko-</w:t>
      </w:r>
      <w:proofErr w:type="spellStart"/>
      <w:r w:rsidR="00C14C83" w:rsidRPr="00C14C83">
        <w:rPr>
          <w:rFonts w:ascii="Arial" w:hAnsi="Arial" w:cs="Arial"/>
          <w:sz w:val="24"/>
          <w:lang w:val="hr-HR"/>
        </w:rPr>
        <w:t>podrinjskom</w:t>
      </w:r>
      <w:proofErr w:type="spellEnd"/>
      <w:r w:rsidR="00C14C83" w:rsidRPr="00C14C83">
        <w:rPr>
          <w:rFonts w:ascii="Arial" w:hAnsi="Arial" w:cs="Arial"/>
          <w:sz w:val="24"/>
          <w:lang w:val="hr-HR"/>
        </w:rPr>
        <w:t xml:space="preserve"> </w:t>
      </w:r>
      <w:r w:rsidR="00725D1B" w:rsidRPr="00725D1B">
        <w:rPr>
          <w:rFonts w:ascii="Arial" w:hAnsi="Arial" w:cs="Arial"/>
          <w:sz w:val="24"/>
          <w:lang w:val="hr-HR"/>
        </w:rPr>
        <w:t>kantonu</w:t>
      </w:r>
      <w:r w:rsidR="00857150" w:rsidRPr="00857150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7733A6">
        <w:rPr>
          <w:rFonts w:ascii="Arial" w:hAnsi="Arial" w:cs="Arial"/>
          <w:sz w:val="24"/>
          <w:lang w:val="hr-HR"/>
        </w:rPr>
        <w:t>2,3</w:t>
      </w:r>
      <w:r w:rsidR="00C14C83">
        <w:rPr>
          <w:rFonts w:ascii="Arial" w:hAnsi="Arial" w:cs="Arial"/>
          <w:sz w:val="24"/>
          <w:lang w:val="hr-HR"/>
        </w:rPr>
        <w:t>9</w:t>
      </w:r>
      <w:r w:rsidR="00255942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KM/l, dok je najniža evidentirana maloprodajna cijena navedenog derivata u </w:t>
      </w:r>
      <w:r w:rsidR="00857150">
        <w:rPr>
          <w:rFonts w:ascii="Arial" w:hAnsi="Arial" w:cs="Arial"/>
          <w:sz w:val="24"/>
          <w:lang w:val="hr-HR"/>
        </w:rPr>
        <w:t>Unsko-sanskom kantonu</w:t>
      </w:r>
      <w:r w:rsidR="00C14C83">
        <w:rPr>
          <w:rFonts w:ascii="Arial" w:hAnsi="Arial" w:cs="Arial"/>
          <w:sz w:val="24"/>
          <w:lang w:val="hr-HR"/>
        </w:rPr>
        <w:t xml:space="preserve"> i Kantonu 10</w:t>
      </w:r>
      <w:r w:rsidR="007733A6">
        <w:rPr>
          <w:rFonts w:ascii="Arial" w:hAnsi="Arial" w:cs="Arial"/>
          <w:sz w:val="24"/>
          <w:lang w:val="hr-HR"/>
        </w:rPr>
        <w:t xml:space="preserve"> </w:t>
      </w:r>
      <w:r w:rsidR="00F0645C">
        <w:rPr>
          <w:rFonts w:ascii="Arial" w:hAnsi="Arial" w:cs="Arial"/>
          <w:sz w:val="24"/>
          <w:lang w:val="hr-HR"/>
        </w:rPr>
        <w:t>i iznosi 2,3</w:t>
      </w:r>
      <w:r w:rsidR="00725D1B">
        <w:rPr>
          <w:rFonts w:ascii="Arial" w:hAnsi="Arial" w:cs="Arial"/>
          <w:sz w:val="24"/>
          <w:lang w:val="hr-HR"/>
        </w:rPr>
        <w:t>4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</w:t>
      </w:r>
      <w:r w:rsidR="00C14C83">
        <w:rPr>
          <w:rFonts w:ascii="Arial" w:hAnsi="Arial" w:cs="Arial"/>
          <w:sz w:val="24"/>
          <w:lang w:val="hr-HR"/>
        </w:rPr>
        <w:t>37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C14C83">
        <w:rPr>
          <w:rFonts w:ascii="Arial" w:hAnsi="Arial" w:cs="Arial"/>
          <w:sz w:val="24"/>
          <w:lang w:val="hr-HR"/>
        </w:rPr>
        <w:t xml:space="preserve">Tuzlanskom kantonu i </w:t>
      </w:r>
      <w:r w:rsidR="002E4569">
        <w:rPr>
          <w:rFonts w:ascii="Arial" w:hAnsi="Arial" w:cs="Arial"/>
          <w:sz w:val="24"/>
          <w:lang w:val="hr-HR"/>
        </w:rPr>
        <w:t>Kantonu Sarajevo</w:t>
      </w:r>
      <w:r w:rsidR="00923E8B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A02701">
        <w:rPr>
          <w:rFonts w:ascii="Arial" w:hAnsi="Arial" w:cs="Arial"/>
          <w:sz w:val="24"/>
          <w:lang w:val="hr-HR"/>
        </w:rPr>
        <w:t>2,3</w:t>
      </w:r>
      <w:r w:rsidR="00C14C83">
        <w:rPr>
          <w:rFonts w:ascii="Arial" w:hAnsi="Arial" w:cs="Arial"/>
          <w:sz w:val="24"/>
          <w:lang w:val="hr-HR"/>
        </w:rPr>
        <w:t>2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Ukupan broj benzinskih</w:t>
      </w:r>
      <w:r w:rsidR="00C14C83">
        <w:rPr>
          <w:rFonts w:ascii="Arial" w:hAnsi="Arial" w:cs="Arial"/>
          <w:sz w:val="24"/>
          <w:lang w:val="hr-HR"/>
        </w:rPr>
        <w:t xml:space="preserve"> pumpi na području Federaciji Bosne i Hercegovine</w:t>
      </w:r>
      <w:r w:rsidRPr="009F0F93">
        <w:rPr>
          <w:rFonts w:ascii="Arial" w:hAnsi="Arial" w:cs="Arial"/>
          <w:sz w:val="24"/>
          <w:lang w:val="hr-HR"/>
        </w:rPr>
        <w:t xml:space="preserve"> u </w:t>
      </w:r>
      <w:r w:rsidR="00C14C83">
        <w:rPr>
          <w:rFonts w:ascii="Arial" w:hAnsi="Arial" w:cs="Arial"/>
          <w:sz w:val="24"/>
          <w:lang w:val="hr-HR"/>
        </w:rPr>
        <w:t>septembru/rujnu</w:t>
      </w:r>
      <w:r w:rsidR="00364CB1">
        <w:rPr>
          <w:rFonts w:ascii="Arial" w:hAnsi="Arial" w:cs="Arial"/>
          <w:sz w:val="24"/>
          <w:lang w:val="hr-HR"/>
        </w:rPr>
        <w:t xml:space="preserve"> </w:t>
      </w:r>
      <w:r w:rsidRPr="009F0F93">
        <w:rPr>
          <w:rFonts w:ascii="Arial" w:hAnsi="Arial" w:cs="Arial"/>
          <w:sz w:val="24"/>
          <w:lang w:val="hr-HR"/>
        </w:rPr>
        <w:t>2025. godine iznosi 7</w:t>
      </w:r>
      <w:r w:rsidR="006A15B6">
        <w:rPr>
          <w:rFonts w:ascii="Arial" w:hAnsi="Arial" w:cs="Arial"/>
          <w:sz w:val="24"/>
          <w:lang w:val="hr-HR"/>
        </w:rPr>
        <w:t>1</w:t>
      </w:r>
      <w:r w:rsidR="00A02701">
        <w:rPr>
          <w:rFonts w:ascii="Arial" w:hAnsi="Arial" w:cs="Arial"/>
          <w:sz w:val="24"/>
          <w:lang w:val="hr-HR"/>
        </w:rPr>
        <w:t>9</w:t>
      </w:r>
      <w:r w:rsidRPr="009F0F93">
        <w:rPr>
          <w:rFonts w:ascii="Arial" w:hAnsi="Arial" w:cs="Arial"/>
          <w:sz w:val="24"/>
          <w:lang w:val="hr-HR"/>
        </w:rPr>
        <w:t xml:space="preserve">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Najveći broj benzinskih pumpi (137) u Federaciji BiH nalazi </w:t>
      </w:r>
      <w:r w:rsidR="00C14C83">
        <w:rPr>
          <w:rFonts w:ascii="Arial" w:hAnsi="Arial" w:cs="Arial"/>
          <w:sz w:val="24"/>
          <w:lang w:val="hr-HR"/>
        </w:rPr>
        <w:t>se u Tuzlanskom kantonu, dok j</w:t>
      </w:r>
      <w:r w:rsidRPr="009F0F93">
        <w:rPr>
          <w:rFonts w:ascii="Arial" w:hAnsi="Arial" w:cs="Arial"/>
          <w:sz w:val="24"/>
          <w:lang w:val="hr-HR"/>
        </w:rPr>
        <w:t>e n</w:t>
      </w:r>
      <w:r w:rsidR="007733A6">
        <w:rPr>
          <w:rFonts w:ascii="Arial" w:hAnsi="Arial" w:cs="Arial"/>
          <w:sz w:val="24"/>
          <w:lang w:val="hr-HR"/>
        </w:rPr>
        <w:t>ajmanji broj benzinskih pumpi (5</w:t>
      </w:r>
      <w:r w:rsidRPr="009F0F93">
        <w:rPr>
          <w:rFonts w:ascii="Arial" w:hAnsi="Arial" w:cs="Arial"/>
          <w:sz w:val="24"/>
          <w:lang w:val="hr-HR"/>
        </w:rPr>
        <w:t xml:space="preserve">) </w:t>
      </w:r>
      <w:r w:rsidR="00C14C83">
        <w:rPr>
          <w:rFonts w:ascii="Arial" w:hAnsi="Arial" w:cs="Arial"/>
          <w:sz w:val="24"/>
          <w:lang w:val="hr-HR"/>
        </w:rPr>
        <w:t>smješten</w:t>
      </w:r>
      <w:r w:rsidRPr="009F0F93">
        <w:rPr>
          <w:rFonts w:ascii="Arial" w:hAnsi="Arial" w:cs="Arial"/>
          <w:sz w:val="24"/>
          <w:lang w:val="hr-HR"/>
        </w:rPr>
        <w:t xml:space="preserve">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F80A88" w:rsidRPr="00DC23BC" w:rsidRDefault="00F80A88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lastRenderedPageBreak/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C61E20" w:rsidRPr="008D0EA0" w:rsidRDefault="00C61E20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C61E20">
        <w:rPr>
          <w:noProof/>
          <w:lang w:eastAsia="hr-BA"/>
        </w:rPr>
        <w:drawing>
          <wp:inline distT="0" distB="0" distL="0" distR="0">
            <wp:extent cx="5759450" cy="1844040"/>
            <wp:effectExtent l="0" t="0" r="0" b="381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001" cy="1845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4EB4" w:rsidRDefault="007F2AF0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>
        <w:rPr>
          <w:rFonts w:ascii="Arial" w:hAnsi="Arial" w:cs="Arial"/>
          <w:b w:val="0"/>
          <w:color w:val="auto"/>
          <w:sz w:val="24"/>
          <w:lang w:val="hr-HR"/>
        </w:rPr>
        <w:t>DIZEL</w:t>
      </w:r>
      <w:r w:rsidR="00E50E3B">
        <w:rPr>
          <w:rFonts w:ascii="Arial" w:hAnsi="Arial" w:cs="Arial"/>
          <w:b w:val="0"/>
          <w:color w:val="auto"/>
          <w:sz w:val="24"/>
          <w:lang w:val="hr-HR"/>
        </w:rPr>
        <w:t xml:space="preserve">  </w:t>
      </w:r>
    </w:p>
    <w:p w:rsidR="007F2AF0" w:rsidRDefault="007F2AF0" w:rsidP="007F2AF0">
      <w:pPr>
        <w:spacing w:after="0"/>
        <w:rPr>
          <w:lang w:val="hr-HR"/>
        </w:rPr>
      </w:pPr>
    </w:p>
    <w:p w:rsidR="00C61E20" w:rsidRPr="007F2AF0" w:rsidRDefault="00B27EEB" w:rsidP="007F2AF0">
      <w:pPr>
        <w:spacing w:after="0"/>
        <w:rPr>
          <w:lang w:val="hr-HR"/>
        </w:rPr>
      </w:pPr>
      <w:r w:rsidRPr="00B27EEB">
        <w:rPr>
          <w:noProof/>
          <w:lang w:eastAsia="hr-BA"/>
        </w:rPr>
        <w:drawing>
          <wp:inline distT="0" distB="0" distL="0" distR="0">
            <wp:extent cx="5759450" cy="1805940"/>
            <wp:effectExtent l="0" t="0" r="0" b="381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20" cy="180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A0" w:rsidRPr="00695E01" w:rsidRDefault="0004513B" w:rsidP="007F2AF0">
      <w:pPr>
        <w:spacing w:after="0"/>
        <w:rPr>
          <w:lang w:val="hr-HR"/>
        </w:rPr>
      </w:pPr>
      <w:r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3F3B49" w:rsidRDefault="003F3B49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4F4100" w:rsidRDefault="004F4100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C52C4F" w:rsidRDefault="00C52C4F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C52C4F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C52C4F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C52C4F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C52C4F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C52C4F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C52C4F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C52C4F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C52C4F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4F4100" w:rsidRDefault="00364CB1" w:rsidP="00C52C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obavljaju </w:t>
      </w:r>
      <w:r w:rsidRPr="004F4100">
        <w:rPr>
          <w:rFonts w:ascii="Arial" w:hAnsi="Arial" w:cs="Arial"/>
          <w:sz w:val="24"/>
          <w:szCs w:val="24"/>
          <w:lang w:val="hr-HR" w:eastAsia="hr-HR"/>
        </w:rPr>
        <w:lastRenderedPageBreak/>
        <w:t>djelatnost trgovine na malo naftnim derivatima propisana je maksimalna visina marži u apsolutnom iznosu od  0,25 KM/litru derivata. Ova Odluka je još uvijek na snazi.</w:t>
      </w:r>
    </w:p>
    <w:p w:rsidR="00364CB1" w:rsidRPr="004F4100" w:rsidRDefault="00364CB1" w:rsidP="00C52C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 w:eastAsia="hr-HR"/>
        </w:rPr>
      </w:pPr>
      <w:r w:rsidRPr="004F4100">
        <w:rPr>
          <w:rFonts w:ascii="Arial" w:hAnsi="Arial" w:cs="Arial"/>
          <w:sz w:val="24"/>
          <w:szCs w:val="24"/>
          <w:lang w:val="hr-HR" w:eastAsia="hr-HR"/>
        </w:rPr>
        <w:t xml:space="preserve"> </w:t>
      </w:r>
      <w:r w:rsidR="00100C7E" w:rsidRPr="004F4100">
        <w:rPr>
          <w:rFonts w:ascii="Arial" w:hAnsi="Arial" w:cs="Arial"/>
          <w:sz w:val="24"/>
          <w:szCs w:val="24"/>
          <w:lang w:val="hr-HR" w:eastAsia="hr-HR"/>
        </w:rPr>
        <w:t xml:space="preserve">  </w:t>
      </w:r>
    </w:p>
    <w:p w:rsidR="000C03AB" w:rsidRPr="004F4100" w:rsidRDefault="000C03AB" w:rsidP="00C52C4F">
      <w:pPr>
        <w:pStyle w:val="Bezproreda"/>
        <w:jc w:val="both"/>
        <w:rPr>
          <w:rFonts w:ascii="Arial" w:hAnsi="Arial" w:cs="Arial"/>
          <w:sz w:val="24"/>
          <w:szCs w:val="24"/>
          <w:lang w:val="hr-HR" w:eastAsia="hr-HR"/>
        </w:rPr>
      </w:pPr>
    </w:p>
    <w:p w:rsidR="006A3E28" w:rsidRPr="004F4100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4F4100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B15" w:rsidRDefault="00320B15" w:rsidP="00271BC9">
      <w:pPr>
        <w:spacing w:after="0" w:line="240" w:lineRule="auto"/>
      </w:pPr>
      <w:r>
        <w:separator/>
      </w:r>
    </w:p>
  </w:endnote>
  <w:endnote w:type="continuationSeparator" w:id="0">
    <w:p w:rsidR="00320B15" w:rsidRDefault="00320B15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011" w:rsidRPr="00CF6011">
          <w:rPr>
            <w:noProof/>
            <w:lang w:val="hr-HR"/>
          </w:rPr>
          <w:t>4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B15" w:rsidRDefault="00320B15" w:rsidP="00271BC9">
      <w:pPr>
        <w:spacing w:after="0" w:line="240" w:lineRule="auto"/>
      </w:pPr>
      <w:r>
        <w:separator/>
      </w:r>
    </w:p>
  </w:footnote>
  <w:footnote w:type="continuationSeparator" w:id="0">
    <w:p w:rsidR="00320B15" w:rsidRDefault="00320B15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64ED9EB7" wp14:editId="0AEECB0B">
          <wp:extent cx="5781675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31A0"/>
    <w:rsid w:val="00005C18"/>
    <w:rsid w:val="00020CF1"/>
    <w:rsid w:val="000231C2"/>
    <w:rsid w:val="00023802"/>
    <w:rsid w:val="00031140"/>
    <w:rsid w:val="000344F5"/>
    <w:rsid w:val="000360B7"/>
    <w:rsid w:val="00037BCD"/>
    <w:rsid w:val="0004513B"/>
    <w:rsid w:val="00045311"/>
    <w:rsid w:val="00045CCB"/>
    <w:rsid w:val="00046F78"/>
    <w:rsid w:val="000501A3"/>
    <w:rsid w:val="0005473B"/>
    <w:rsid w:val="00062F49"/>
    <w:rsid w:val="000722BB"/>
    <w:rsid w:val="00074985"/>
    <w:rsid w:val="000767AF"/>
    <w:rsid w:val="000778A0"/>
    <w:rsid w:val="000800CB"/>
    <w:rsid w:val="00082A6A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2DF7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07C"/>
    <w:rsid w:val="0014124A"/>
    <w:rsid w:val="00141A68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179D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433F"/>
    <w:rsid w:val="00246F38"/>
    <w:rsid w:val="00255942"/>
    <w:rsid w:val="00256513"/>
    <w:rsid w:val="0026231D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125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E4569"/>
    <w:rsid w:val="002F1B3C"/>
    <w:rsid w:val="002F3A2D"/>
    <w:rsid w:val="002F6AC9"/>
    <w:rsid w:val="00300632"/>
    <w:rsid w:val="00303B34"/>
    <w:rsid w:val="00306609"/>
    <w:rsid w:val="00310588"/>
    <w:rsid w:val="0031649A"/>
    <w:rsid w:val="00320B15"/>
    <w:rsid w:val="00320B90"/>
    <w:rsid w:val="003214D4"/>
    <w:rsid w:val="00321A1A"/>
    <w:rsid w:val="00322D0A"/>
    <w:rsid w:val="00325B8E"/>
    <w:rsid w:val="00327A50"/>
    <w:rsid w:val="00332A0D"/>
    <w:rsid w:val="00335DB5"/>
    <w:rsid w:val="00336830"/>
    <w:rsid w:val="00337366"/>
    <w:rsid w:val="003402B5"/>
    <w:rsid w:val="00344BF3"/>
    <w:rsid w:val="00344E38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86024"/>
    <w:rsid w:val="0039043E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D5D6A"/>
    <w:rsid w:val="003D6DE3"/>
    <w:rsid w:val="003E2581"/>
    <w:rsid w:val="003E5471"/>
    <w:rsid w:val="003E5AD7"/>
    <w:rsid w:val="003F3AAD"/>
    <w:rsid w:val="003F3B49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3FEE"/>
    <w:rsid w:val="00437717"/>
    <w:rsid w:val="004417B9"/>
    <w:rsid w:val="00441A1D"/>
    <w:rsid w:val="00443805"/>
    <w:rsid w:val="00446474"/>
    <w:rsid w:val="00447CFF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2EC0"/>
    <w:rsid w:val="00487077"/>
    <w:rsid w:val="00487B98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1FFF"/>
    <w:rsid w:val="004C4E2E"/>
    <w:rsid w:val="004D0EA0"/>
    <w:rsid w:val="004D4FDA"/>
    <w:rsid w:val="004E2DC2"/>
    <w:rsid w:val="004E552F"/>
    <w:rsid w:val="004E5F9F"/>
    <w:rsid w:val="004F4100"/>
    <w:rsid w:val="004F6751"/>
    <w:rsid w:val="004F794C"/>
    <w:rsid w:val="00500554"/>
    <w:rsid w:val="00507759"/>
    <w:rsid w:val="00510ABC"/>
    <w:rsid w:val="00514DE7"/>
    <w:rsid w:val="00517CC6"/>
    <w:rsid w:val="00532FA0"/>
    <w:rsid w:val="00534308"/>
    <w:rsid w:val="00540226"/>
    <w:rsid w:val="0054050B"/>
    <w:rsid w:val="0054062A"/>
    <w:rsid w:val="005445AE"/>
    <w:rsid w:val="00546F66"/>
    <w:rsid w:val="005612D0"/>
    <w:rsid w:val="00563177"/>
    <w:rsid w:val="0056650E"/>
    <w:rsid w:val="00567FD3"/>
    <w:rsid w:val="00573332"/>
    <w:rsid w:val="005744DC"/>
    <w:rsid w:val="00574894"/>
    <w:rsid w:val="00577E06"/>
    <w:rsid w:val="00582782"/>
    <w:rsid w:val="00585517"/>
    <w:rsid w:val="005904D0"/>
    <w:rsid w:val="00591777"/>
    <w:rsid w:val="00597D46"/>
    <w:rsid w:val="005A011B"/>
    <w:rsid w:val="005A3F6D"/>
    <w:rsid w:val="005A5DC5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E591B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6B8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15B6"/>
    <w:rsid w:val="006A2539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D60B0"/>
    <w:rsid w:val="006E1978"/>
    <w:rsid w:val="006E19E8"/>
    <w:rsid w:val="006E44ED"/>
    <w:rsid w:val="006F7611"/>
    <w:rsid w:val="006F7FB7"/>
    <w:rsid w:val="00700E29"/>
    <w:rsid w:val="00704BE6"/>
    <w:rsid w:val="00706350"/>
    <w:rsid w:val="007159CA"/>
    <w:rsid w:val="0071668B"/>
    <w:rsid w:val="0072247B"/>
    <w:rsid w:val="00722581"/>
    <w:rsid w:val="00725D1B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4097"/>
    <w:rsid w:val="0076669F"/>
    <w:rsid w:val="007700F0"/>
    <w:rsid w:val="007708D6"/>
    <w:rsid w:val="007711D7"/>
    <w:rsid w:val="007717F1"/>
    <w:rsid w:val="007733A6"/>
    <w:rsid w:val="00774904"/>
    <w:rsid w:val="00776A23"/>
    <w:rsid w:val="007807B3"/>
    <w:rsid w:val="00792B05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1B58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10C"/>
    <w:rsid w:val="007E6E8D"/>
    <w:rsid w:val="007E7DD4"/>
    <w:rsid w:val="007F2AF0"/>
    <w:rsid w:val="007F39AC"/>
    <w:rsid w:val="007F7089"/>
    <w:rsid w:val="0080319E"/>
    <w:rsid w:val="00805036"/>
    <w:rsid w:val="00805248"/>
    <w:rsid w:val="00811D21"/>
    <w:rsid w:val="00814398"/>
    <w:rsid w:val="008165C3"/>
    <w:rsid w:val="008166FA"/>
    <w:rsid w:val="008248E1"/>
    <w:rsid w:val="00826E9B"/>
    <w:rsid w:val="00827CD8"/>
    <w:rsid w:val="00830197"/>
    <w:rsid w:val="00830BFA"/>
    <w:rsid w:val="00831F46"/>
    <w:rsid w:val="008339B8"/>
    <w:rsid w:val="00835705"/>
    <w:rsid w:val="0083744B"/>
    <w:rsid w:val="0084473A"/>
    <w:rsid w:val="00844E7D"/>
    <w:rsid w:val="00847451"/>
    <w:rsid w:val="008528E2"/>
    <w:rsid w:val="00854EB9"/>
    <w:rsid w:val="00857150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13CF"/>
    <w:rsid w:val="008A4F5F"/>
    <w:rsid w:val="008B1989"/>
    <w:rsid w:val="008B781F"/>
    <w:rsid w:val="008C041F"/>
    <w:rsid w:val="008C0C21"/>
    <w:rsid w:val="008C1E8F"/>
    <w:rsid w:val="008C5DFF"/>
    <w:rsid w:val="008C7250"/>
    <w:rsid w:val="008D0EA0"/>
    <w:rsid w:val="008D2885"/>
    <w:rsid w:val="008D3739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47FC8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258"/>
    <w:rsid w:val="009B1F6C"/>
    <w:rsid w:val="009B32B0"/>
    <w:rsid w:val="009B36FA"/>
    <w:rsid w:val="009B4E20"/>
    <w:rsid w:val="009B5C9B"/>
    <w:rsid w:val="009B6F56"/>
    <w:rsid w:val="009C108B"/>
    <w:rsid w:val="009C1A22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4E61"/>
    <w:rsid w:val="009F67DF"/>
    <w:rsid w:val="009F6A28"/>
    <w:rsid w:val="00A02701"/>
    <w:rsid w:val="00A03843"/>
    <w:rsid w:val="00A05FEA"/>
    <w:rsid w:val="00A06A2E"/>
    <w:rsid w:val="00A070CD"/>
    <w:rsid w:val="00A07D96"/>
    <w:rsid w:val="00A12C73"/>
    <w:rsid w:val="00A13B03"/>
    <w:rsid w:val="00A3461B"/>
    <w:rsid w:val="00A34A8C"/>
    <w:rsid w:val="00A369BC"/>
    <w:rsid w:val="00A41106"/>
    <w:rsid w:val="00A4484F"/>
    <w:rsid w:val="00A521FC"/>
    <w:rsid w:val="00A523D9"/>
    <w:rsid w:val="00A57C60"/>
    <w:rsid w:val="00A67020"/>
    <w:rsid w:val="00A67D57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A4AF8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2C86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23738"/>
    <w:rsid w:val="00B27EEB"/>
    <w:rsid w:val="00B30B5B"/>
    <w:rsid w:val="00B323C1"/>
    <w:rsid w:val="00B34B11"/>
    <w:rsid w:val="00B359F7"/>
    <w:rsid w:val="00B36A69"/>
    <w:rsid w:val="00B40AB0"/>
    <w:rsid w:val="00B43CA8"/>
    <w:rsid w:val="00B44FC2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742BA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4A15"/>
    <w:rsid w:val="00C0755A"/>
    <w:rsid w:val="00C13F5D"/>
    <w:rsid w:val="00C14C83"/>
    <w:rsid w:val="00C15949"/>
    <w:rsid w:val="00C15AF5"/>
    <w:rsid w:val="00C16D7F"/>
    <w:rsid w:val="00C20246"/>
    <w:rsid w:val="00C2701F"/>
    <w:rsid w:val="00C27FAC"/>
    <w:rsid w:val="00C300DC"/>
    <w:rsid w:val="00C3694A"/>
    <w:rsid w:val="00C37384"/>
    <w:rsid w:val="00C43443"/>
    <w:rsid w:val="00C436CA"/>
    <w:rsid w:val="00C43D99"/>
    <w:rsid w:val="00C44B5F"/>
    <w:rsid w:val="00C52C4F"/>
    <w:rsid w:val="00C54BA5"/>
    <w:rsid w:val="00C61E20"/>
    <w:rsid w:val="00C63C1D"/>
    <w:rsid w:val="00C64595"/>
    <w:rsid w:val="00C67D1C"/>
    <w:rsid w:val="00C732A3"/>
    <w:rsid w:val="00C7660D"/>
    <w:rsid w:val="00C76BEA"/>
    <w:rsid w:val="00C82847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2D1B"/>
    <w:rsid w:val="00CF36E8"/>
    <w:rsid w:val="00CF4A32"/>
    <w:rsid w:val="00CF6011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6130D"/>
    <w:rsid w:val="00D7096D"/>
    <w:rsid w:val="00D72A71"/>
    <w:rsid w:val="00D76F29"/>
    <w:rsid w:val="00D77D53"/>
    <w:rsid w:val="00D8511B"/>
    <w:rsid w:val="00D877D8"/>
    <w:rsid w:val="00D87C49"/>
    <w:rsid w:val="00D915ED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1FC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0E3B"/>
    <w:rsid w:val="00E538FF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5DC1"/>
    <w:rsid w:val="00E976AF"/>
    <w:rsid w:val="00EA0F67"/>
    <w:rsid w:val="00EA149C"/>
    <w:rsid w:val="00EA7761"/>
    <w:rsid w:val="00EA79D9"/>
    <w:rsid w:val="00EA7EFB"/>
    <w:rsid w:val="00EB07BF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506B"/>
    <w:rsid w:val="00F063A7"/>
    <w:rsid w:val="00F0645C"/>
    <w:rsid w:val="00F07DF8"/>
    <w:rsid w:val="00F12282"/>
    <w:rsid w:val="00F151A1"/>
    <w:rsid w:val="00F1604C"/>
    <w:rsid w:val="00F177DD"/>
    <w:rsid w:val="00F20B58"/>
    <w:rsid w:val="00F2133C"/>
    <w:rsid w:val="00F231EE"/>
    <w:rsid w:val="00F23C40"/>
    <w:rsid w:val="00F2561B"/>
    <w:rsid w:val="00F25866"/>
    <w:rsid w:val="00F26591"/>
    <w:rsid w:val="00F26B61"/>
    <w:rsid w:val="00F271CC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3A6"/>
    <w:rsid w:val="00F574A4"/>
    <w:rsid w:val="00F63C90"/>
    <w:rsid w:val="00F66A4C"/>
    <w:rsid w:val="00F7221C"/>
    <w:rsid w:val="00F742E2"/>
    <w:rsid w:val="00F80A88"/>
    <w:rsid w:val="00F87F33"/>
    <w:rsid w:val="00F9240D"/>
    <w:rsid w:val="00F940BC"/>
    <w:rsid w:val="00F94714"/>
    <w:rsid w:val="00F95303"/>
    <w:rsid w:val="00F95C2C"/>
    <w:rsid w:val="00FA05E6"/>
    <w:rsid w:val="00FA2D9B"/>
    <w:rsid w:val="00FA4706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E7E2D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640843-25E0-4B74-8504-7D2FD4A4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chart" Target="charts/chart4.xml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chart" Target="charts/chart2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Radni_list_programa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23"/>
    </mc:Choice>
    <mc:Fallback>
      <c:style val="23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2060"/>
                </a:solidFill>
                <a:latin typeface="Calibri"/>
                <a:ea typeface="Calibri"/>
                <a:cs typeface="Calibri"/>
              </a:defRPr>
            </a:pPr>
            <a:r>
              <a:rPr lang="hr-BA" sz="1400" b="1" i="0" u="none" strike="noStrike" baseline="0">
                <a:solidFill>
                  <a:srgbClr val="002060"/>
                </a:solidFill>
                <a:latin typeface="Arial"/>
                <a:cs typeface="Arial"/>
              </a:rPr>
              <a:t>Srednji kurs američkog dolara (USD</a:t>
            </a:r>
            <a:r>
              <a:rPr lang="hr-BA" sz="1400" b="1" i="0" u="none" strike="noStrike" baseline="0">
                <a:solidFill>
                  <a:srgbClr val="002060"/>
                </a:solidFill>
                <a:latin typeface="Calibri"/>
                <a:cs typeface="Calibri"/>
              </a:rPr>
              <a:t>)</a:t>
            </a:r>
          </a:p>
        </c:rich>
      </c:tx>
      <c:layout>
        <c:manualLayout>
          <c:xMode val="edge"/>
          <c:yMode val="edge"/>
          <c:x val="0.22312910764915544"/>
          <c:y val="2.00200200200200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7122652414562163E-2"/>
          <c:y val="0.12203266258384367"/>
          <c:w val="0.92734695223606256"/>
          <c:h val="0.73814247318184323"/>
        </c:manualLayout>
      </c:layout>
      <c:lineChart>
        <c:grouping val="stacked"/>
        <c:varyColors val="0"/>
        <c:ser>
          <c:idx val="0"/>
          <c:order val="0"/>
          <c:tx>
            <c:strRef>
              <c:f>'srednji kurs USD'!$B$1</c:f>
              <c:strCache>
                <c:ptCount val="1"/>
                <c:pt idx="0">
                  <c:v>Srednji kurs dolara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pPr>
              <a:solidFill>
                <a:schemeClr val="accent1"/>
              </a:solidFill>
              <a:ln>
                <a:solidFill>
                  <a:schemeClr val="accent1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1" i="0" u="none" strike="noStrike" baseline="0">
                    <a:solidFill>
                      <a:srgbClr val="00206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'srednji kurs USD'!$A$2:$A$22</c:f>
              <c:strCache>
                <c:ptCount val="21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'srednji kurs USD'!$B$2:$B$22</c:f>
              <c:numCache>
                <c:formatCode>0.00</c:formatCode>
                <c:ptCount val="21"/>
                <c:pt idx="0">
                  <c:v>1.79</c:v>
                </c:pt>
                <c:pt idx="1">
                  <c:v>1.81</c:v>
                </c:pt>
                <c:pt idx="2">
                  <c:v>1.8</c:v>
                </c:pt>
                <c:pt idx="3">
                  <c:v>1.8218877</c:v>
                </c:pt>
                <c:pt idx="4">
                  <c:v>1.81</c:v>
                </c:pt>
                <c:pt idx="5">
                  <c:v>1.82</c:v>
                </c:pt>
                <c:pt idx="6">
                  <c:v>1.8</c:v>
                </c:pt>
                <c:pt idx="7">
                  <c:v>1.78</c:v>
                </c:pt>
                <c:pt idx="8">
                  <c:v>1.76</c:v>
                </c:pt>
                <c:pt idx="9">
                  <c:v>1.79</c:v>
                </c:pt>
                <c:pt idx="10">
                  <c:v>1.84</c:v>
                </c:pt>
                <c:pt idx="11">
                  <c:v>1.87</c:v>
                </c:pt>
                <c:pt idx="12">
                  <c:v>1.8879999999999999</c:v>
                </c:pt>
                <c:pt idx="13">
                  <c:v>1.88</c:v>
                </c:pt>
                <c:pt idx="14">
                  <c:v>1.81</c:v>
                </c:pt>
                <c:pt idx="15">
                  <c:v>1.75</c:v>
                </c:pt>
                <c:pt idx="16">
                  <c:v>1.74</c:v>
                </c:pt>
                <c:pt idx="17">
                  <c:v>1.7</c:v>
                </c:pt>
                <c:pt idx="18">
                  <c:v>1.67</c:v>
                </c:pt>
                <c:pt idx="19">
                  <c:v>1.68</c:v>
                </c:pt>
                <c:pt idx="20">
                  <c:v>1.67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4866784"/>
        <c:axId val="574873056"/>
      </c:lineChart>
      <c:catAx>
        <c:axId val="574866784"/>
        <c:scaling>
          <c:orientation val="minMax"/>
        </c:scaling>
        <c:delete val="0"/>
        <c:axPos val="b"/>
        <c:min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  <a:alpha val="99000"/>
                    </a:schemeClr>
                  </a:gs>
                  <a:gs pos="66000">
                    <a:schemeClr val="accent1"/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</c:minorGridlines>
        <c:numFmt formatCode="General" sourceLinked="1"/>
        <c:majorTickMark val="cross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206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74873056"/>
        <c:crosses val="autoZero"/>
        <c:auto val="0"/>
        <c:lblAlgn val="ctr"/>
        <c:lblOffset val="100"/>
        <c:noMultiLvlLbl val="0"/>
      </c:catAx>
      <c:valAx>
        <c:axId val="574873056"/>
        <c:scaling>
          <c:orientation val="minMax"/>
          <c:max val="2"/>
          <c:min val="1.6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206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74866784"/>
        <c:crosses val="autoZero"/>
        <c:crossBetween val="between"/>
        <c:majorUnit val="5.000000000000001E-2"/>
      </c:valAx>
      <c:spPr>
        <a:solidFill>
          <a:schemeClr val="bg1"/>
        </a:solidFill>
        <a:ln w="25400">
          <a:solidFill>
            <a:schemeClr val="accent1"/>
          </a:solidFill>
        </a:ln>
      </c:spPr>
    </c:plotArea>
    <c:plotVisOnly val="1"/>
    <c:dispBlanksAs val="zero"/>
    <c:showDLblsOverMax val="0"/>
  </c:chart>
  <c:spPr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1">
                <a:solidFill>
                  <a:srgbClr val="C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hr-BA" b="1">
                <a:solidFill>
                  <a:srgbClr val="C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Cijena sirove nafte po barelu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5.2435251149161907E-2"/>
          <c:y val="0.11883829738673971"/>
          <c:w val="0.88457715242334489"/>
          <c:h val="0.78306896420556127"/>
        </c:manualLayout>
      </c:layout>
      <c:lineChart>
        <c:grouping val="stacked"/>
        <c:varyColors val="0"/>
        <c:ser>
          <c:idx val="0"/>
          <c:order val="0"/>
          <c:tx>
            <c:strRef>
              <c:f>'WTI-BRENT'!$B$1</c:f>
              <c:strCache>
                <c:ptCount val="1"/>
                <c:pt idx="0">
                  <c:v>WTI </c:v>
                </c:pt>
              </c:strCache>
            </c:strRef>
          </c:tx>
          <c:spPr>
            <a:ln cmpd="dbl"/>
          </c:spP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1">
                    <a:solidFill>
                      <a:schemeClr val="accent1">
                        <a:lumMod val="75000"/>
                      </a:schemeClr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sr-Latn-R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'WTI-BRENT'!$A$2:$A$22</c:f>
              <c:strCache>
                <c:ptCount val="21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'WTI-BRENT'!$B$2:$B$22</c:f>
              <c:numCache>
                <c:formatCode>0.00</c:formatCode>
                <c:ptCount val="21"/>
                <c:pt idx="0">
                  <c:v>73.64</c:v>
                </c:pt>
                <c:pt idx="1">
                  <c:v>77.08</c:v>
                </c:pt>
                <c:pt idx="2">
                  <c:v>81.010000000000005</c:v>
                </c:pt>
                <c:pt idx="3">
                  <c:v>84.9</c:v>
                </c:pt>
                <c:pt idx="4">
                  <c:v>78.959999999999994</c:v>
                </c:pt>
                <c:pt idx="5">
                  <c:v>78.010000000000005</c:v>
                </c:pt>
                <c:pt idx="6">
                  <c:v>76.739999999999995</c:v>
                </c:pt>
                <c:pt idx="7">
                  <c:v>75.430000000000007</c:v>
                </c:pt>
                <c:pt idx="8">
                  <c:v>69.33</c:v>
                </c:pt>
                <c:pt idx="9">
                  <c:v>72.849999999999994</c:v>
                </c:pt>
                <c:pt idx="10">
                  <c:v>69.52</c:v>
                </c:pt>
                <c:pt idx="11">
                  <c:v>70.62</c:v>
                </c:pt>
                <c:pt idx="12">
                  <c:v>75.319999999999993</c:v>
                </c:pt>
                <c:pt idx="13">
                  <c:v>71.39</c:v>
                </c:pt>
                <c:pt idx="14">
                  <c:v>67.823999999999998</c:v>
                </c:pt>
                <c:pt idx="15">
                  <c:v>63.1</c:v>
                </c:pt>
                <c:pt idx="16">
                  <c:v>61.356099999999998</c:v>
                </c:pt>
                <c:pt idx="17">
                  <c:v>66.819999999999993</c:v>
                </c:pt>
                <c:pt idx="18">
                  <c:v>66.98</c:v>
                </c:pt>
                <c:pt idx="19">
                  <c:v>64.319999999999993</c:v>
                </c:pt>
                <c:pt idx="20">
                  <c:v>63.48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upDownBars>
          <c:gapWidth val="150"/>
          <c:upBars/>
          <c:downBars/>
        </c:upDownBars>
        <c:marker val="1"/>
        <c:smooth val="0"/>
        <c:axId val="574878152"/>
        <c:axId val="574873840"/>
      </c:lineChart>
      <c:lineChart>
        <c:grouping val="stacked"/>
        <c:varyColors val="0"/>
        <c:ser>
          <c:idx val="1"/>
          <c:order val="1"/>
          <c:tx>
            <c:strRef>
              <c:f>'WTI-BRENT'!$C$1</c:f>
              <c:strCache>
                <c:ptCount val="1"/>
                <c:pt idx="0">
                  <c:v>BRENT</c:v>
                </c:pt>
              </c:strCache>
            </c:strRef>
          </c:tx>
          <c:spPr>
            <a:ln w="28575" cmpd="sng">
              <a:solidFill>
                <a:srgbClr val="FF0000"/>
              </a:solidFill>
              <a:prstDash val="solid"/>
            </a:ln>
          </c:spPr>
          <c:marker>
            <c:spPr>
              <a:solidFill>
                <a:srgbClr val="FF0000"/>
              </a:solidFill>
              <a:ln>
                <a:noFill/>
                <a:tailEnd type="oval"/>
              </a:ln>
            </c:spPr>
          </c:marker>
          <c:dLbls>
            <c:spPr>
              <a:ln w="88900" cap="rnd" cmpd="dbl">
                <a:prstDash val="sysDash"/>
                <a:beve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1" i="0" u="none" strike="noStrike" baseline="0">
                    <a:solidFill>
                      <a:srgbClr val="FF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'WTI-BRENT'!$A$2:$A$22</c:f>
              <c:strCache>
                <c:ptCount val="21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'WTI-BRENT'!$C$2:$C$22</c:f>
              <c:numCache>
                <c:formatCode>0.00</c:formatCode>
                <c:ptCount val="21"/>
                <c:pt idx="0">
                  <c:v>79.19</c:v>
                </c:pt>
                <c:pt idx="1">
                  <c:v>82.02</c:v>
                </c:pt>
                <c:pt idx="2">
                  <c:v>85.09</c:v>
                </c:pt>
                <c:pt idx="3">
                  <c:v>89.19</c:v>
                </c:pt>
                <c:pt idx="4">
                  <c:v>82.61</c:v>
                </c:pt>
                <c:pt idx="5">
                  <c:v>82.15</c:v>
                </c:pt>
                <c:pt idx="6">
                  <c:v>79.900000000000006</c:v>
                </c:pt>
                <c:pt idx="7">
                  <c:v>78.88</c:v>
                </c:pt>
                <c:pt idx="8">
                  <c:v>72.599999999999994</c:v>
                </c:pt>
                <c:pt idx="9">
                  <c:v>76</c:v>
                </c:pt>
                <c:pt idx="10">
                  <c:v>73.25</c:v>
                </c:pt>
                <c:pt idx="11">
                  <c:v>77.599999999999994</c:v>
                </c:pt>
                <c:pt idx="12">
                  <c:v>78.314999999999998</c:v>
                </c:pt>
                <c:pt idx="13">
                  <c:v>75.099999999999994</c:v>
                </c:pt>
                <c:pt idx="14">
                  <c:v>71.312899999999999</c:v>
                </c:pt>
                <c:pt idx="15">
                  <c:v>66.28</c:v>
                </c:pt>
                <c:pt idx="16">
                  <c:v>64.371099999999998</c:v>
                </c:pt>
                <c:pt idx="17">
                  <c:v>70.099999999999994</c:v>
                </c:pt>
                <c:pt idx="18">
                  <c:v>69.17</c:v>
                </c:pt>
                <c:pt idx="19">
                  <c:v>67.099999999999994</c:v>
                </c:pt>
                <c:pt idx="20">
                  <c:v>67.819999999999993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4876976"/>
        <c:axId val="574877368"/>
      </c:lineChart>
      <c:catAx>
        <c:axId val="574878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ysClr val="window" lastClr="FFFFFF"/>
          </a:solidFill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C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74873840"/>
        <c:crossesAt val="0"/>
        <c:auto val="1"/>
        <c:lblAlgn val="ctr"/>
        <c:lblOffset val="100"/>
        <c:noMultiLvlLbl val="0"/>
      </c:catAx>
      <c:valAx>
        <c:axId val="574873840"/>
        <c:scaling>
          <c:orientation val="minMax"/>
          <c:max val="120"/>
          <c:min val="40"/>
        </c:scaling>
        <c:delete val="0"/>
        <c:axPos val="l"/>
        <c:numFmt formatCode="[$$-409]#,##0" sourceLinked="0"/>
        <c:majorTickMark val="none"/>
        <c:minorTickMark val="none"/>
        <c:tickLblPos val="nextTo"/>
        <c:spPr>
          <a:ln/>
        </c:spPr>
        <c:txPr>
          <a:bodyPr rot="0" vert="horz" anchor="t" anchorCtr="1"/>
          <a:lstStyle/>
          <a:p>
            <a:pPr>
              <a:defRPr sz="800" b="1" i="0" u="none" strike="noStrike" baseline="0">
                <a:ln>
                  <a:noFill/>
                </a:ln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74878152"/>
        <c:crosses val="autoZero"/>
        <c:crossBetween val="between"/>
        <c:majorUnit val="10"/>
      </c:valAx>
      <c:catAx>
        <c:axId val="5748769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74877368"/>
        <c:crosses val="autoZero"/>
        <c:auto val="1"/>
        <c:lblAlgn val="ctr"/>
        <c:lblOffset val="100"/>
        <c:noMultiLvlLbl val="0"/>
      </c:catAx>
      <c:valAx>
        <c:axId val="574877368"/>
        <c:scaling>
          <c:orientation val="minMax"/>
          <c:max val="120"/>
          <c:min val="40"/>
        </c:scaling>
        <c:delete val="0"/>
        <c:axPos val="r"/>
        <c:numFmt formatCode="[$$-409]#,##0" sourceLinked="0"/>
        <c:majorTickMark val="out"/>
        <c:minorTickMark val="cross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chemeClr val="accent1">
                    <a:lumMod val="75000"/>
                  </a:schemeClr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74876976"/>
        <c:crosses val="max"/>
        <c:crossBetween val="between"/>
      </c:valAx>
      <c:spPr>
        <a:solidFill>
          <a:schemeClr val="bg1"/>
        </a:solidFill>
        <a:ln w="25400" cmpd="sng">
          <a:solidFill>
            <a:srgbClr val="C00000"/>
          </a:solidFill>
        </a:ln>
        <a:effectLst>
          <a:innerShdw>
            <a:srgbClr val="C00000"/>
          </a:innerShdw>
        </a:effectLst>
        <a:scene3d>
          <a:camera prst="orthographicFront"/>
          <a:lightRig rig="threePt" dir="t"/>
        </a:scene3d>
        <a:sp3d>
          <a:bevelT w="0" h="0"/>
        </a:sp3d>
      </c:spPr>
    </c:plotArea>
    <c:legend>
      <c:legendPos val="r"/>
      <c:legendEntry>
        <c:idx val="0"/>
        <c:txPr>
          <a:bodyPr/>
          <a:lstStyle/>
          <a:p>
            <a:pPr>
              <a:defRPr sz="780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egendEntry>
        <c:idx val="1"/>
        <c:txPr>
          <a:bodyPr/>
          <a:lstStyle/>
          <a:p>
            <a:pPr>
              <a:defRPr sz="78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39076623774236607"/>
          <c:y val="0.13719806763285022"/>
          <c:w val="0.21959482556186705"/>
          <c:h val="5.0241545893719791E-2"/>
        </c:manualLayout>
      </c:layout>
      <c:overlay val="0"/>
      <c:txPr>
        <a:bodyPr/>
        <a:lstStyle/>
        <a:p>
          <a:pPr>
            <a:defRPr sz="7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r-Latn-RS"/>
        </a:p>
      </c:txPr>
    </c:legend>
    <c:plotVisOnly val="1"/>
    <c:dispBlanksAs val="zero"/>
    <c:showDLblsOverMax val="0"/>
  </c:chart>
  <c:spPr>
    <a:ln w="25400">
      <a:solidFill>
        <a:srgbClr val="C00000"/>
      </a:solidFill>
    </a:ln>
    <a:effectLst>
      <a:outerShdw sx="1000" sy="1000" algn="ctr" rotWithShape="0">
        <a:srgbClr val="C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8646325386996635"/>
          <c:y val="0.72647398022615584"/>
        </c:manualLayout>
      </c:layout>
      <c:overlay val="0"/>
      <c:spPr>
        <a:solidFill>
          <a:schemeClr val="bg1"/>
        </a:solidFill>
        <a:ln>
          <a:solidFill>
            <a:schemeClr val="bg1"/>
          </a:solidFill>
        </a:ln>
      </c:spPr>
      <c:txPr>
        <a:bodyPr/>
        <a:lstStyle/>
        <a:p>
          <a:pPr>
            <a:defRPr sz="1200" b="1" i="0" u="none" strike="noStrike" baseline="0">
              <a:solidFill>
                <a:srgbClr val="333399"/>
              </a:solidFill>
              <a:latin typeface="Arial"/>
              <a:ea typeface="Arial"/>
              <a:cs typeface="Arial"/>
            </a:defRPr>
          </a:pPr>
          <a:endParaRPr lang="sr-Latn-RS"/>
        </a:p>
      </c:txPr>
    </c:title>
    <c:autoTitleDeleted val="0"/>
    <c:plotArea>
      <c:layout>
        <c:manualLayout>
          <c:layoutTarget val="inner"/>
          <c:xMode val="edge"/>
          <c:yMode val="edge"/>
          <c:x val="4.9510399182934754E-2"/>
          <c:y val="6.8593897881723903E-2"/>
          <c:w val="0.92826675775117151"/>
          <c:h val="0.83830263039549957"/>
        </c:manualLayout>
      </c:layout>
      <c:lineChart>
        <c:grouping val="stacked"/>
        <c:varyColors val="0"/>
        <c:ser>
          <c:idx val="0"/>
          <c:order val="0"/>
          <c:tx>
            <c:strRef>
              <c:f>'BMB 98'!$B$1</c:f>
              <c:strCache>
                <c:ptCount val="1"/>
                <c:pt idx="0">
                  <c:v>BMB 98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98'!$A$2:$A$22</c:f>
              <c:strCache>
                <c:ptCount val="21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'BMB 98'!$B$2:$B$22</c:f>
              <c:numCache>
                <c:formatCode>0.00</c:formatCode>
                <c:ptCount val="21"/>
                <c:pt idx="0">
                  <c:v>2.76</c:v>
                </c:pt>
                <c:pt idx="1">
                  <c:v>2.74</c:v>
                </c:pt>
                <c:pt idx="2">
                  <c:v>2.73</c:v>
                </c:pt>
                <c:pt idx="3">
                  <c:v>2.8</c:v>
                </c:pt>
                <c:pt idx="4">
                  <c:v>2.85</c:v>
                </c:pt>
                <c:pt idx="5">
                  <c:v>2.82</c:v>
                </c:pt>
                <c:pt idx="6">
                  <c:v>2.82</c:v>
                </c:pt>
                <c:pt idx="7">
                  <c:v>2.81</c:v>
                </c:pt>
                <c:pt idx="8">
                  <c:v>2.76</c:v>
                </c:pt>
                <c:pt idx="9">
                  <c:v>2.71</c:v>
                </c:pt>
                <c:pt idx="10">
                  <c:v>2.7</c:v>
                </c:pt>
                <c:pt idx="11">
                  <c:v>2.69</c:v>
                </c:pt>
                <c:pt idx="12">
                  <c:v>2.69</c:v>
                </c:pt>
                <c:pt idx="13">
                  <c:v>2.7</c:v>
                </c:pt>
                <c:pt idx="14">
                  <c:v>2.68</c:v>
                </c:pt>
                <c:pt idx="15">
                  <c:v>2.64</c:v>
                </c:pt>
                <c:pt idx="16">
                  <c:v>2.6</c:v>
                </c:pt>
                <c:pt idx="17">
                  <c:v>2.59</c:v>
                </c:pt>
                <c:pt idx="18">
                  <c:v>2.59</c:v>
                </c:pt>
                <c:pt idx="19">
                  <c:v>2.58</c:v>
                </c:pt>
                <c:pt idx="20">
                  <c:v>2.58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402016"/>
        <c:axId val="498409464"/>
      </c:lineChart>
      <c:catAx>
        <c:axId val="498402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409464"/>
        <c:crosses val="autoZero"/>
        <c:auto val="1"/>
        <c:lblAlgn val="ctr"/>
        <c:lblOffset val="100"/>
        <c:noMultiLvlLbl val="0"/>
      </c:catAx>
      <c:valAx>
        <c:axId val="498409464"/>
        <c:scaling>
          <c:orientation val="minMax"/>
          <c:max val="3.2"/>
          <c:min val="2.2000000000000002"/>
        </c:scaling>
        <c:delete val="0"/>
        <c:axPos val="l"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402016"/>
        <c:crosses val="autoZero"/>
        <c:crossBetween val="between"/>
        <c:majorUnit val="0.1"/>
      </c:valAx>
      <c:spPr>
        <a:solidFill>
          <a:schemeClr val="bg1"/>
        </a:solidFill>
        <a:ln w="25400" cmpd="sng">
          <a:solidFill>
            <a:schemeClr val="accent1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chemeClr val="accent1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BMB 95</a:t>
            </a:r>
          </a:p>
        </c:rich>
      </c:tx>
      <c:layout>
        <c:manualLayout>
          <c:xMode val="edge"/>
          <c:yMode val="edge"/>
          <c:x val="0.86198229409574656"/>
          <c:y val="0.73584769927014937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5.055185756419623E-2"/>
          <c:y val="6.6172140067857377E-2"/>
          <c:w val="0.9275995075357848"/>
          <c:h val="0.84394524998399589"/>
        </c:manualLayout>
      </c:layout>
      <c:lineChart>
        <c:grouping val="stacked"/>
        <c:varyColors val="0"/>
        <c:ser>
          <c:idx val="0"/>
          <c:order val="0"/>
          <c:tx>
            <c:strRef>
              <c:f>'BMB 95'!$B$1</c:f>
              <c:strCache>
                <c:ptCount val="1"/>
                <c:pt idx="0">
                  <c:v>BMB 95</c:v>
                </c:pt>
              </c:strCache>
            </c:strRef>
          </c:tx>
          <c:spPr>
            <a:ln cap="rnd">
              <a:solidFill>
                <a:srgbClr val="FF0000"/>
              </a:solidFill>
            </a:ln>
          </c:spPr>
          <c:marker>
            <c:symbol val="diamond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'BMB 95'!$A$2:$A$22</c:f>
              <c:strCache>
                <c:ptCount val="21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 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'BMB 95'!$B$2:$B$22</c:f>
              <c:numCache>
                <c:formatCode>General</c:formatCode>
                <c:ptCount val="21"/>
                <c:pt idx="0" formatCode="0.00">
                  <c:v>2.5099999999999998</c:v>
                </c:pt>
                <c:pt idx="1">
                  <c:v>2.54</c:v>
                </c:pt>
                <c:pt idx="2">
                  <c:v>2.61</c:v>
                </c:pt>
                <c:pt idx="3" formatCode="0.00">
                  <c:v>2.7</c:v>
                </c:pt>
                <c:pt idx="4">
                  <c:v>2.73</c:v>
                </c:pt>
                <c:pt idx="5">
                  <c:v>2.65</c:v>
                </c:pt>
                <c:pt idx="6">
                  <c:v>2.64</c:v>
                </c:pt>
                <c:pt idx="7" formatCode="0.00">
                  <c:v>2.6</c:v>
                </c:pt>
                <c:pt idx="8">
                  <c:v>2.48</c:v>
                </c:pt>
                <c:pt idx="9">
                  <c:v>2.42</c:v>
                </c:pt>
                <c:pt idx="10">
                  <c:v>2.4300000000000002</c:v>
                </c:pt>
                <c:pt idx="11">
                  <c:v>2.4300000000000002</c:v>
                </c:pt>
                <c:pt idx="12" formatCode="0.00">
                  <c:v>2.4500000000000002</c:v>
                </c:pt>
                <c:pt idx="13">
                  <c:v>2.4900000000000002</c:v>
                </c:pt>
                <c:pt idx="14">
                  <c:v>2.44</c:v>
                </c:pt>
                <c:pt idx="15" formatCode="0.00">
                  <c:v>2.37</c:v>
                </c:pt>
                <c:pt idx="16">
                  <c:v>2.31</c:v>
                </c:pt>
                <c:pt idx="17">
                  <c:v>2.33</c:v>
                </c:pt>
                <c:pt idx="18">
                  <c:v>2.36</c:v>
                </c:pt>
                <c:pt idx="19" formatCode="0.00">
                  <c:v>2.36</c:v>
                </c:pt>
                <c:pt idx="20" formatCode="0.00">
                  <c:v>2.36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498402800"/>
        <c:axId val="498412208"/>
      </c:lineChart>
      <c:catAx>
        <c:axId val="498402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412208"/>
        <c:crosses val="autoZero"/>
        <c:auto val="1"/>
        <c:lblAlgn val="ctr"/>
        <c:lblOffset val="100"/>
        <c:noMultiLvlLbl val="0"/>
      </c:catAx>
      <c:valAx>
        <c:axId val="498412208"/>
        <c:scaling>
          <c:orientation val="minMax"/>
          <c:max val="3.1"/>
          <c:min val="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402800"/>
        <c:crosses val="autoZero"/>
        <c:crossBetween val="between"/>
        <c:majorUnit val="0.1"/>
        <c:minorUnit val="2.0000000000000004E-2"/>
      </c:valAx>
      <c:spPr>
        <a:solidFill>
          <a:schemeClr val="bg1"/>
        </a:solidFill>
        <a:ln w="25400">
          <a:solidFill>
            <a:srgbClr val="FF0000"/>
          </a:solidFill>
        </a:ln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>
      <a:solidFill>
        <a:srgbClr val="FF0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r-Latn-R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FFCC00"/>
                </a:solidFill>
                <a:latin typeface="Arial"/>
                <a:ea typeface="Arial"/>
                <a:cs typeface="Arial"/>
              </a:defRPr>
            </a:pPr>
            <a:r>
              <a:rPr lang="hr-BA"/>
              <a:t>DIZEL BAS EN 590 (10 ppm)</a:t>
            </a:r>
          </a:p>
        </c:rich>
      </c:tx>
      <c:layout>
        <c:manualLayout>
          <c:xMode val="edge"/>
          <c:yMode val="edge"/>
          <c:x val="0.59546988673395695"/>
          <c:y val="0.69581360159161598"/>
        </c:manualLayout>
      </c:layout>
      <c:overlay val="0"/>
      <c:spPr>
        <a:solidFill>
          <a:schemeClr val="bg1"/>
        </a:solidFill>
      </c:spPr>
    </c:title>
    <c:autoTitleDeleted val="0"/>
    <c:plotArea>
      <c:layout>
        <c:manualLayout>
          <c:layoutTarget val="inner"/>
          <c:xMode val="edge"/>
          <c:yMode val="edge"/>
          <c:x val="5.302307829051249E-2"/>
          <c:y val="7.1993069371666621E-2"/>
          <c:w val="0.93029613828151958"/>
          <c:h val="0.78294944003885636"/>
        </c:manualLayout>
      </c:layout>
      <c:lineChart>
        <c:grouping val="stacked"/>
        <c:varyColors val="0"/>
        <c:ser>
          <c:idx val="0"/>
          <c:order val="0"/>
          <c:spPr>
            <a:ln>
              <a:solidFill>
                <a:srgbClr val="FFC000"/>
              </a:solidFill>
            </a:ln>
          </c:spPr>
          <c:marker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DIZEL!$A$2:$A$22</c:f>
              <c:strCache>
                <c:ptCount val="21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  <c:pt idx="14">
                  <c:v>III </c:v>
                </c:pt>
                <c:pt idx="15">
                  <c:v>IV 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</c:strCache>
            </c:strRef>
          </c:cat>
          <c:val>
            <c:numRef>
              <c:f>DIZEL!$B$2:$B$22</c:f>
              <c:numCache>
                <c:formatCode>0.00</c:formatCode>
                <c:ptCount val="21"/>
                <c:pt idx="0">
                  <c:v>2.61</c:v>
                </c:pt>
                <c:pt idx="1">
                  <c:v>2.68</c:v>
                </c:pt>
                <c:pt idx="2">
                  <c:v>2.71</c:v>
                </c:pt>
                <c:pt idx="3">
                  <c:v>2.7</c:v>
                </c:pt>
                <c:pt idx="4">
                  <c:v>2.62</c:v>
                </c:pt>
                <c:pt idx="5">
                  <c:v>2.5499999999999998</c:v>
                </c:pt>
                <c:pt idx="6">
                  <c:v>2.6</c:v>
                </c:pt>
                <c:pt idx="7">
                  <c:v>2.52</c:v>
                </c:pt>
                <c:pt idx="8">
                  <c:v>2.41</c:v>
                </c:pt>
                <c:pt idx="9">
                  <c:v>2.39</c:v>
                </c:pt>
                <c:pt idx="10">
                  <c:v>2.42</c:v>
                </c:pt>
                <c:pt idx="11">
                  <c:v>2.46</c:v>
                </c:pt>
                <c:pt idx="12">
                  <c:v>2.5</c:v>
                </c:pt>
                <c:pt idx="13">
                  <c:v>2.54</c:v>
                </c:pt>
                <c:pt idx="14">
                  <c:v>2.46</c:v>
                </c:pt>
                <c:pt idx="15">
                  <c:v>2.34</c:v>
                </c:pt>
                <c:pt idx="16">
                  <c:v>2.25</c:v>
                </c:pt>
                <c:pt idx="17">
                  <c:v>2.2799999999999998</c:v>
                </c:pt>
                <c:pt idx="18">
                  <c:v>2.38</c:v>
                </c:pt>
                <c:pt idx="19">
                  <c:v>2.36</c:v>
                </c:pt>
                <c:pt idx="20">
                  <c:v>2.33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/>
        <c:marker val="1"/>
        <c:smooth val="0"/>
        <c:axId val="498400056"/>
        <c:axId val="498407112"/>
      </c:lineChart>
      <c:catAx>
        <c:axId val="498400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407112"/>
        <c:crosses val="autoZero"/>
        <c:auto val="1"/>
        <c:lblAlgn val="ctr"/>
        <c:lblOffset val="100"/>
        <c:noMultiLvlLbl val="0"/>
      </c:catAx>
      <c:valAx>
        <c:axId val="498407112"/>
        <c:scaling>
          <c:orientation val="minMax"/>
          <c:max val="3"/>
          <c:min val="2"/>
        </c:scaling>
        <c:delete val="0"/>
        <c:axPos val="l"/>
        <c:numFmt formatCode="#,##0.0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498400056"/>
        <c:crosses val="autoZero"/>
        <c:crossBetween val="between"/>
        <c:majorUnit val="0.1"/>
      </c:valAx>
      <c:spPr>
        <a:solidFill>
          <a:schemeClr val="bg1"/>
        </a:solidFill>
        <a:ln w="25400" cap="flat" cmpd="sng">
          <a:solidFill>
            <a:srgbClr val="FFC000"/>
          </a:solidFill>
          <a:round/>
        </a:ln>
        <a:effectLst>
          <a:glow>
            <a:schemeClr val="bg1"/>
          </a:glow>
        </a:effectLst>
        <a:scene3d>
          <a:camera prst="orthographicFront"/>
          <a:lightRig rig="threePt" dir="t"/>
        </a:scene3d>
        <a:sp3d>
          <a:bevelT w="0" h="0"/>
          <a:bevelB w="0" h="0"/>
        </a:sp3d>
      </c:spPr>
    </c:plotArea>
    <c:plotVisOnly val="1"/>
    <c:dispBlanksAs val="zero"/>
    <c:showDLblsOverMax val="0"/>
  </c:chart>
  <c:spPr>
    <a:solidFill>
      <a:schemeClr val="bg1"/>
    </a:solidFill>
    <a:ln w="25400" cmpd="thickThin">
      <a:solidFill>
        <a:srgbClr val="FFC000"/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1E136-542F-4B37-B263-AE7E9D67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1435</Words>
  <Characters>8183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Aida Milavić</dc:creator>
  <cp:lastModifiedBy>X</cp:lastModifiedBy>
  <cp:revision>3</cp:revision>
  <cp:lastPrinted>2025-06-24T11:40:00Z</cp:lastPrinted>
  <dcterms:created xsi:type="dcterms:W3CDTF">2025-10-06T11:01:00Z</dcterms:created>
  <dcterms:modified xsi:type="dcterms:W3CDTF">2025-10-07T13:40:00Z</dcterms:modified>
</cp:coreProperties>
</file>